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97" w:rsidRDefault="00594397"/>
    <w:p w:rsidR="00B905C5" w:rsidRDefault="00B905C5" w:rsidP="008953D8">
      <w:pPr>
        <w:spacing w:after="0" w:line="240" w:lineRule="auto"/>
        <w:jc w:val="center"/>
        <w:rPr>
          <w:rFonts w:ascii="Cambria" w:hAnsi="Cambria"/>
          <w:b/>
          <w:sz w:val="36"/>
          <w:szCs w:val="36"/>
          <w:lang w:eastAsia="de-AT"/>
        </w:rPr>
      </w:pPr>
      <w:r w:rsidRPr="00E379A4">
        <w:rPr>
          <w:rFonts w:ascii="Cambria" w:hAnsi="Cambria"/>
          <w:sz w:val="36"/>
          <w:szCs w:val="36"/>
          <w:lang w:eastAsia="de-AT"/>
        </w:rPr>
        <w:t>GreenSkills4VET</w:t>
      </w:r>
      <w:r w:rsidR="008953D8" w:rsidRPr="00CA0ADB">
        <w:rPr>
          <w:rFonts w:ascii="Cambria" w:hAnsi="Cambria"/>
          <w:sz w:val="36"/>
          <w:szCs w:val="36"/>
          <w:lang w:val="en-GB" w:eastAsia="de-AT"/>
        </w:rPr>
        <w:t xml:space="preserve"> </w:t>
      </w:r>
      <w:r w:rsidR="00F1731B" w:rsidRPr="00E379A4">
        <w:rPr>
          <w:rFonts w:ascii="Cambria" w:hAnsi="Cambria"/>
          <w:b/>
          <w:sz w:val="36"/>
          <w:szCs w:val="36"/>
          <w:lang w:eastAsia="de-AT"/>
        </w:rPr>
        <w:t>LearnBox</w:t>
      </w:r>
      <w:r>
        <w:rPr>
          <w:rFonts w:ascii="Cambria" w:hAnsi="Cambria"/>
          <w:b/>
          <w:sz w:val="36"/>
          <w:szCs w:val="36"/>
          <w:lang w:eastAsia="de-AT"/>
        </w:rPr>
        <w:t>, Séction 2</w:t>
      </w:r>
    </w:p>
    <w:p w:rsidR="008953D8" w:rsidRPr="00E379A4" w:rsidRDefault="00B905C5" w:rsidP="008953D8">
      <w:pPr>
        <w:spacing w:after="0" w:line="240" w:lineRule="auto"/>
        <w:jc w:val="center"/>
        <w:rPr>
          <w:rFonts w:ascii="Cambria" w:hAnsi="Cambria"/>
          <w:b/>
          <w:sz w:val="36"/>
          <w:szCs w:val="36"/>
          <w:lang w:eastAsia="de-AT"/>
        </w:rPr>
      </w:pPr>
      <w:r>
        <w:rPr>
          <w:rFonts w:ascii="Cambria" w:hAnsi="Cambria"/>
          <w:b/>
          <w:sz w:val="36"/>
          <w:szCs w:val="36"/>
          <w:lang w:eastAsia="de-AT"/>
        </w:rPr>
        <w:t>Intellectual output 5, partner BFI-OÖ</w:t>
      </w:r>
      <w:r w:rsidR="00F1731B" w:rsidRPr="00E379A4">
        <w:rPr>
          <w:rFonts w:ascii="Cambria" w:hAnsi="Cambria"/>
          <w:sz w:val="36"/>
          <w:szCs w:val="36"/>
          <w:lang w:eastAsia="de-AT"/>
        </w:rPr>
        <w:t xml:space="preserve"> </w:t>
      </w:r>
    </w:p>
    <w:p w:rsidR="00B86547" w:rsidRDefault="00B86547">
      <w:pPr>
        <w:rPr>
          <w:b/>
          <w:sz w:val="32"/>
          <w:szCs w:val="32"/>
          <w:u w:val="single"/>
        </w:rPr>
      </w:pPr>
    </w:p>
    <w:p w:rsidR="008953D8" w:rsidRPr="00B86547" w:rsidRDefault="00B86547" w:rsidP="00B86547">
      <w:pPr>
        <w:pStyle w:val="Listenabsatz"/>
        <w:numPr>
          <w:ilvl w:val="0"/>
          <w:numId w:val="12"/>
        </w:numPr>
        <w:rPr>
          <w:b/>
          <w:sz w:val="32"/>
          <w:szCs w:val="32"/>
          <w:u w:val="single"/>
        </w:rPr>
      </w:pPr>
      <w:r>
        <w:rPr>
          <w:b/>
          <w:sz w:val="32"/>
          <w:szCs w:val="32"/>
          <w:u w:val="single"/>
        </w:rPr>
        <w:t>L’Exemple</w:t>
      </w:r>
      <w:r w:rsidR="00EF5846" w:rsidRPr="00B86547">
        <w:rPr>
          <w:b/>
          <w:sz w:val="32"/>
          <w:szCs w:val="32"/>
          <w:u w:val="single"/>
        </w:rPr>
        <w:t xml:space="preserve"> de R</w:t>
      </w:r>
      <w:r w:rsidR="007841B7" w:rsidRPr="00B86547">
        <w:rPr>
          <w:b/>
          <w:sz w:val="32"/>
          <w:szCs w:val="32"/>
          <w:u w:val="single"/>
        </w:rPr>
        <w:t xml:space="preserve">essources </w:t>
      </w:r>
      <w:r w:rsidR="00EF5846" w:rsidRPr="00B86547">
        <w:rPr>
          <w:b/>
          <w:sz w:val="32"/>
          <w:szCs w:val="32"/>
          <w:u w:val="single"/>
        </w:rPr>
        <w:t>E</w:t>
      </w:r>
      <w:r w:rsidR="007841B7" w:rsidRPr="00B86547">
        <w:rPr>
          <w:b/>
          <w:sz w:val="32"/>
          <w:szCs w:val="32"/>
          <w:u w:val="single"/>
        </w:rPr>
        <w:t xml:space="preserve">ducatives </w:t>
      </w:r>
      <w:r w:rsidR="00EF5846" w:rsidRPr="00B86547">
        <w:rPr>
          <w:b/>
          <w:sz w:val="32"/>
          <w:szCs w:val="32"/>
          <w:u w:val="single"/>
        </w:rPr>
        <w:t>L</w:t>
      </w:r>
      <w:r w:rsidR="007841B7" w:rsidRPr="00B86547">
        <w:rPr>
          <w:b/>
          <w:sz w:val="32"/>
          <w:szCs w:val="32"/>
          <w:u w:val="single"/>
        </w:rPr>
        <w:t>ibres (REL)</w:t>
      </w:r>
      <w:r w:rsidR="008953D8" w:rsidRPr="00B86547">
        <w:rPr>
          <w:b/>
          <w:sz w:val="32"/>
          <w:szCs w:val="32"/>
          <w:u w:val="single"/>
        </w:rPr>
        <w:t xml:space="preserve"> </w:t>
      </w:r>
      <w:r>
        <w:rPr>
          <w:b/>
          <w:sz w:val="32"/>
          <w:szCs w:val="32"/>
          <w:u w:val="single"/>
        </w:rPr>
        <w:t>BFI-OÖ</w:t>
      </w:r>
    </w:p>
    <w:p w:rsidR="008953D8" w:rsidRPr="00F1731B" w:rsidRDefault="00F1731B" w:rsidP="008953D8">
      <w:pPr>
        <w:pStyle w:val="Listenabsatz"/>
        <w:numPr>
          <w:ilvl w:val="1"/>
          <w:numId w:val="1"/>
        </w:numPr>
        <w:rPr>
          <w:b/>
          <w:sz w:val="32"/>
          <w:szCs w:val="32"/>
          <w:u w:val="single"/>
        </w:rPr>
      </w:pPr>
      <w:r>
        <w:rPr>
          <w:b/>
          <w:sz w:val="32"/>
          <w:szCs w:val="32"/>
          <w:u w:val="single"/>
        </w:rPr>
        <w:t>La REL et son module</w:t>
      </w:r>
      <w:r w:rsidR="008953D8" w:rsidRPr="00F1731B">
        <w:rPr>
          <w:b/>
          <w:sz w:val="32"/>
          <w:szCs w:val="32"/>
          <w:u w:val="single"/>
        </w:rPr>
        <w:t xml:space="preserve"> (</w:t>
      </w:r>
      <w:r w:rsidRPr="00F1731B">
        <w:rPr>
          <w:b/>
          <w:sz w:val="32"/>
          <w:szCs w:val="32"/>
          <w:u w:val="single"/>
        </w:rPr>
        <w:t>bonnes pratiques</w:t>
      </w:r>
      <w:r w:rsidR="008953D8" w:rsidRPr="00F1731B">
        <w:rPr>
          <w:b/>
          <w:sz w:val="32"/>
          <w:szCs w:val="32"/>
          <w:u w:val="single"/>
        </w:rPr>
        <w:t>)</w:t>
      </w:r>
    </w:p>
    <w:p w:rsidR="008953D8" w:rsidRPr="00A80A20" w:rsidRDefault="00F1731B" w:rsidP="008953D8">
      <w:pPr>
        <w:jc w:val="both"/>
        <w:rPr>
          <w:sz w:val="24"/>
          <w:szCs w:val="24"/>
        </w:rPr>
      </w:pPr>
      <w:r>
        <w:rPr>
          <w:sz w:val="24"/>
          <w:szCs w:val="24"/>
        </w:rPr>
        <w:t>La</w:t>
      </w:r>
      <w:r w:rsidR="00EF5846" w:rsidRPr="00EF5846">
        <w:rPr>
          <w:sz w:val="24"/>
          <w:szCs w:val="24"/>
        </w:rPr>
        <w:t xml:space="preserve"> REL fait partie d’un scenario </w:t>
      </w:r>
      <w:r w:rsidR="00EF5846">
        <w:rPr>
          <w:sz w:val="24"/>
          <w:szCs w:val="24"/>
        </w:rPr>
        <w:t>didactique</w:t>
      </w:r>
      <w:r w:rsidR="00EF5846" w:rsidRPr="00EF5846">
        <w:rPr>
          <w:sz w:val="24"/>
          <w:szCs w:val="24"/>
        </w:rPr>
        <w:t xml:space="preserve">. </w:t>
      </w:r>
      <w:r w:rsidR="008953D8" w:rsidRPr="00EF5846">
        <w:rPr>
          <w:sz w:val="24"/>
          <w:szCs w:val="24"/>
        </w:rPr>
        <w:t xml:space="preserve">BFI OÖ LINZ </w:t>
      </w:r>
      <w:r w:rsidR="00EF5846" w:rsidRPr="00EF5846">
        <w:rPr>
          <w:sz w:val="24"/>
          <w:szCs w:val="24"/>
        </w:rPr>
        <w:t>a développé une REL qui peut être utilisée en version imprimée ou digitale.</w:t>
      </w:r>
      <w:r w:rsidR="00EF5846">
        <w:rPr>
          <w:sz w:val="24"/>
          <w:szCs w:val="24"/>
        </w:rPr>
        <w:t xml:space="preserve"> </w:t>
      </w:r>
      <w:r w:rsidR="00925978">
        <w:rPr>
          <w:sz w:val="24"/>
          <w:szCs w:val="24"/>
        </w:rPr>
        <w:t>Elle est structurée de la manière</w:t>
      </w:r>
      <w:r w:rsidR="00EF5846">
        <w:rPr>
          <w:sz w:val="24"/>
          <w:szCs w:val="24"/>
        </w:rPr>
        <w:t xml:space="preserve"> </w:t>
      </w:r>
      <w:r w:rsidR="00A80A20">
        <w:rPr>
          <w:sz w:val="24"/>
          <w:szCs w:val="24"/>
        </w:rPr>
        <w:t>suivante</w:t>
      </w:r>
      <w:r w:rsidR="00A80A20" w:rsidRPr="00A80A20">
        <w:rPr>
          <w:sz w:val="24"/>
          <w:szCs w:val="24"/>
        </w:rPr>
        <w:t xml:space="preserve"> :</w:t>
      </w:r>
    </w:p>
    <w:p w:rsidR="008953D8" w:rsidRPr="000C7D61" w:rsidRDefault="0082108B" w:rsidP="008953D8">
      <w:pPr>
        <w:pStyle w:val="Listenabsatz"/>
        <w:numPr>
          <w:ilvl w:val="0"/>
          <w:numId w:val="2"/>
        </w:numPr>
        <w:spacing w:after="160" w:line="259" w:lineRule="auto"/>
        <w:jc w:val="both"/>
        <w:rPr>
          <w:sz w:val="24"/>
          <w:szCs w:val="24"/>
          <w:u w:val="single"/>
        </w:rPr>
      </w:pPr>
      <w:hyperlink w:anchor="_OER_–_PART" w:history="1">
        <w:r w:rsidR="00EF5846">
          <w:rPr>
            <w:rStyle w:val="Hyperlink"/>
            <w:sz w:val="24"/>
            <w:szCs w:val="24"/>
          </w:rPr>
          <w:t>REL</w:t>
        </w:r>
        <w:r w:rsidR="008953D8" w:rsidRPr="000C7D61">
          <w:rPr>
            <w:rStyle w:val="Hyperlink"/>
            <w:sz w:val="24"/>
            <w:szCs w:val="24"/>
          </w:rPr>
          <w:t xml:space="preserve"> – PART</w:t>
        </w:r>
        <w:r w:rsidR="00EF5846">
          <w:rPr>
            <w:rStyle w:val="Hyperlink"/>
            <w:sz w:val="24"/>
            <w:szCs w:val="24"/>
          </w:rPr>
          <w:t>IE</w:t>
        </w:r>
        <w:r w:rsidR="008953D8" w:rsidRPr="000C7D61">
          <w:rPr>
            <w:rStyle w:val="Hyperlink"/>
            <w:sz w:val="24"/>
            <w:szCs w:val="24"/>
          </w:rPr>
          <w:t xml:space="preserve"> 1</w:t>
        </w:r>
      </w:hyperlink>
      <w:r w:rsidR="008953D8" w:rsidRPr="000C7D61">
        <w:rPr>
          <w:sz w:val="24"/>
          <w:szCs w:val="24"/>
          <w:u w:val="single"/>
        </w:rPr>
        <w:t xml:space="preserve">: </w:t>
      </w:r>
    </w:p>
    <w:p w:rsidR="008953D8" w:rsidRPr="00EF5846" w:rsidRDefault="00EF5846" w:rsidP="008953D8">
      <w:pPr>
        <w:pStyle w:val="Listenabsatz"/>
        <w:jc w:val="both"/>
        <w:rPr>
          <w:sz w:val="24"/>
          <w:szCs w:val="24"/>
        </w:rPr>
      </w:pPr>
      <w:r w:rsidRPr="00EF5846">
        <w:rPr>
          <w:sz w:val="24"/>
          <w:szCs w:val="24"/>
        </w:rPr>
        <w:t>Description brève de la ressource et du contexte du projet Greenskills4VET, initiation à l’Education</w:t>
      </w:r>
      <w:r>
        <w:rPr>
          <w:sz w:val="24"/>
          <w:szCs w:val="24"/>
        </w:rPr>
        <w:t xml:space="preserve"> au Développement Durable (EDD), scénario didactique et recommandations pour les enseignants et formateurs.</w:t>
      </w:r>
      <w:r w:rsidRPr="00EF5846">
        <w:rPr>
          <w:sz w:val="24"/>
          <w:szCs w:val="24"/>
        </w:rPr>
        <w:t xml:space="preserve"> </w:t>
      </w:r>
    </w:p>
    <w:p w:rsidR="008953D8" w:rsidRPr="000C7D61" w:rsidRDefault="0082108B" w:rsidP="008953D8">
      <w:pPr>
        <w:pStyle w:val="Listenabsatz"/>
        <w:numPr>
          <w:ilvl w:val="0"/>
          <w:numId w:val="2"/>
        </w:numPr>
        <w:spacing w:after="160" w:line="259" w:lineRule="auto"/>
        <w:jc w:val="both"/>
        <w:rPr>
          <w:sz w:val="24"/>
          <w:szCs w:val="24"/>
          <w:u w:val="single"/>
        </w:rPr>
      </w:pPr>
      <w:hyperlink w:anchor="_OER_–_PART_1" w:history="1">
        <w:r w:rsidR="00EF5846">
          <w:rPr>
            <w:rStyle w:val="Hyperlink"/>
            <w:sz w:val="24"/>
            <w:szCs w:val="24"/>
          </w:rPr>
          <w:t>REL</w:t>
        </w:r>
        <w:r w:rsidR="008953D8" w:rsidRPr="000C7D61">
          <w:rPr>
            <w:rStyle w:val="Hyperlink"/>
            <w:sz w:val="24"/>
            <w:szCs w:val="24"/>
          </w:rPr>
          <w:t xml:space="preserve"> – PART</w:t>
        </w:r>
        <w:r w:rsidR="00EF5846">
          <w:rPr>
            <w:rStyle w:val="Hyperlink"/>
            <w:sz w:val="24"/>
            <w:szCs w:val="24"/>
          </w:rPr>
          <w:t>IE</w:t>
        </w:r>
        <w:r w:rsidR="008953D8" w:rsidRPr="000C7D61">
          <w:rPr>
            <w:rStyle w:val="Hyperlink"/>
            <w:sz w:val="24"/>
            <w:szCs w:val="24"/>
          </w:rPr>
          <w:t xml:space="preserve"> 2</w:t>
        </w:r>
      </w:hyperlink>
      <w:r w:rsidR="008953D8" w:rsidRPr="000C7D61">
        <w:rPr>
          <w:sz w:val="24"/>
          <w:szCs w:val="24"/>
          <w:u w:val="single"/>
        </w:rPr>
        <w:t>:</w:t>
      </w:r>
    </w:p>
    <w:p w:rsidR="008953D8" w:rsidRPr="00EF5846" w:rsidRDefault="00EF5846" w:rsidP="008953D8">
      <w:pPr>
        <w:pStyle w:val="Listenabsatz"/>
        <w:jc w:val="both"/>
        <w:rPr>
          <w:sz w:val="24"/>
          <w:szCs w:val="24"/>
        </w:rPr>
      </w:pPr>
      <w:r>
        <w:rPr>
          <w:sz w:val="24"/>
          <w:szCs w:val="24"/>
        </w:rPr>
        <w:t xml:space="preserve">Support </w:t>
      </w:r>
      <w:r w:rsidR="007B467F">
        <w:rPr>
          <w:sz w:val="24"/>
          <w:szCs w:val="24"/>
        </w:rPr>
        <w:t xml:space="preserve">écrit pour </w:t>
      </w:r>
      <w:r>
        <w:rPr>
          <w:sz w:val="24"/>
          <w:szCs w:val="24"/>
        </w:rPr>
        <w:t xml:space="preserve">travailler sur la définition de la notion de Développement Durable, qu’il s’agisse d’un bref cours d’introduction ou d’un support permettant d’accompagner les vidéos et feuillets d’information. </w:t>
      </w:r>
    </w:p>
    <w:p w:rsidR="008953D8" w:rsidRPr="000C7D61" w:rsidRDefault="0082108B" w:rsidP="008953D8">
      <w:pPr>
        <w:pStyle w:val="Listenabsatz"/>
        <w:numPr>
          <w:ilvl w:val="0"/>
          <w:numId w:val="2"/>
        </w:numPr>
        <w:spacing w:after="160" w:line="259" w:lineRule="auto"/>
        <w:jc w:val="both"/>
        <w:rPr>
          <w:sz w:val="24"/>
          <w:szCs w:val="24"/>
          <w:u w:val="single"/>
          <w:lang w:val="es-MX"/>
        </w:rPr>
      </w:pPr>
      <w:hyperlink w:anchor="_OER_–_PART_2" w:history="1">
        <w:r w:rsidR="00EF5846">
          <w:rPr>
            <w:rStyle w:val="Hyperlink"/>
            <w:sz w:val="24"/>
            <w:szCs w:val="24"/>
          </w:rPr>
          <w:t>REL</w:t>
        </w:r>
        <w:r w:rsidR="008953D8" w:rsidRPr="000C7D61">
          <w:rPr>
            <w:rStyle w:val="Hyperlink"/>
            <w:sz w:val="24"/>
            <w:szCs w:val="24"/>
          </w:rPr>
          <w:t xml:space="preserve"> – PART</w:t>
        </w:r>
        <w:r w:rsidR="00EF5846">
          <w:rPr>
            <w:rStyle w:val="Hyperlink"/>
            <w:sz w:val="24"/>
            <w:szCs w:val="24"/>
          </w:rPr>
          <w:t>IE</w:t>
        </w:r>
        <w:r w:rsidR="008953D8" w:rsidRPr="000C7D61">
          <w:rPr>
            <w:rStyle w:val="Hyperlink"/>
            <w:sz w:val="24"/>
            <w:szCs w:val="24"/>
          </w:rPr>
          <w:t xml:space="preserve"> 3</w:t>
        </w:r>
      </w:hyperlink>
      <w:r w:rsidR="008953D8" w:rsidRPr="000C7D61">
        <w:rPr>
          <w:sz w:val="24"/>
          <w:szCs w:val="24"/>
          <w:u w:val="single"/>
        </w:rPr>
        <w:t>:</w:t>
      </w:r>
    </w:p>
    <w:p w:rsidR="008953D8" w:rsidRPr="007B467F" w:rsidRDefault="007B467F" w:rsidP="008953D8">
      <w:pPr>
        <w:pStyle w:val="Listenabsatz"/>
        <w:jc w:val="both"/>
        <w:rPr>
          <w:sz w:val="24"/>
          <w:szCs w:val="24"/>
        </w:rPr>
      </w:pPr>
      <w:r w:rsidRPr="007B467F">
        <w:rPr>
          <w:sz w:val="24"/>
          <w:szCs w:val="24"/>
        </w:rPr>
        <w:t xml:space="preserve">Une </w:t>
      </w:r>
      <w:r w:rsidR="00E57610" w:rsidRPr="007B467F">
        <w:rPr>
          <w:sz w:val="24"/>
          <w:szCs w:val="24"/>
        </w:rPr>
        <w:t>sélection</w:t>
      </w:r>
      <w:r w:rsidRPr="007B467F">
        <w:rPr>
          <w:sz w:val="24"/>
          <w:szCs w:val="24"/>
        </w:rPr>
        <w:t xml:space="preserve"> de courtes vidéos sur le Développement Durable (Youtube). </w:t>
      </w:r>
    </w:p>
    <w:p w:rsidR="008953D8" w:rsidRPr="000C7D61" w:rsidRDefault="0082108B" w:rsidP="008953D8">
      <w:pPr>
        <w:pStyle w:val="Listenabsatz"/>
        <w:numPr>
          <w:ilvl w:val="0"/>
          <w:numId w:val="2"/>
        </w:numPr>
        <w:spacing w:after="160" w:line="259" w:lineRule="auto"/>
        <w:jc w:val="both"/>
        <w:rPr>
          <w:sz w:val="24"/>
          <w:szCs w:val="24"/>
          <w:u w:val="single"/>
        </w:rPr>
      </w:pPr>
      <w:hyperlink w:anchor="_OER_–_PART_3" w:history="1">
        <w:r w:rsidR="00EF5846">
          <w:rPr>
            <w:rStyle w:val="Hyperlink"/>
            <w:sz w:val="24"/>
            <w:szCs w:val="24"/>
            <w:lang w:val="es-MX"/>
          </w:rPr>
          <w:t>REL</w:t>
        </w:r>
        <w:r w:rsidR="008953D8" w:rsidRPr="000C7D61">
          <w:rPr>
            <w:rStyle w:val="Hyperlink"/>
            <w:sz w:val="24"/>
            <w:szCs w:val="24"/>
            <w:lang w:val="es-MX"/>
          </w:rPr>
          <w:t xml:space="preserve"> – PART</w:t>
        </w:r>
        <w:r w:rsidR="00EF5846">
          <w:rPr>
            <w:rStyle w:val="Hyperlink"/>
            <w:sz w:val="24"/>
            <w:szCs w:val="24"/>
            <w:lang w:val="es-MX"/>
          </w:rPr>
          <w:t>IE</w:t>
        </w:r>
        <w:r w:rsidR="008953D8" w:rsidRPr="000C7D61">
          <w:rPr>
            <w:rStyle w:val="Hyperlink"/>
            <w:sz w:val="24"/>
            <w:szCs w:val="24"/>
            <w:lang w:val="es-MX"/>
          </w:rPr>
          <w:t xml:space="preserve"> 4</w:t>
        </w:r>
      </w:hyperlink>
      <w:r w:rsidR="008953D8" w:rsidRPr="000C7D61">
        <w:rPr>
          <w:sz w:val="24"/>
          <w:szCs w:val="24"/>
          <w:u w:val="single"/>
          <w:lang w:val="es-MX"/>
        </w:rPr>
        <w:t>:</w:t>
      </w:r>
    </w:p>
    <w:p w:rsidR="008953D8" w:rsidRPr="00693541" w:rsidRDefault="008953D8" w:rsidP="008953D8">
      <w:pPr>
        <w:pStyle w:val="Listenabsatz"/>
        <w:jc w:val="both"/>
        <w:rPr>
          <w:sz w:val="24"/>
          <w:szCs w:val="24"/>
        </w:rPr>
      </w:pPr>
      <w:r w:rsidRPr="00693541">
        <w:rPr>
          <w:sz w:val="24"/>
          <w:szCs w:val="24"/>
        </w:rPr>
        <w:t>PDF / Information</w:t>
      </w:r>
      <w:r w:rsidR="00693541" w:rsidRPr="00693541">
        <w:rPr>
          <w:sz w:val="24"/>
          <w:szCs w:val="24"/>
        </w:rPr>
        <w:t>s</w:t>
      </w:r>
      <w:r w:rsidRPr="00693541">
        <w:rPr>
          <w:sz w:val="24"/>
          <w:szCs w:val="24"/>
        </w:rPr>
        <w:t xml:space="preserve"> / </w:t>
      </w:r>
      <w:r w:rsidR="00693541" w:rsidRPr="00693541">
        <w:rPr>
          <w:sz w:val="24"/>
          <w:szCs w:val="24"/>
        </w:rPr>
        <w:t>Résumé</w:t>
      </w:r>
      <w:r w:rsidRPr="00693541">
        <w:rPr>
          <w:sz w:val="24"/>
          <w:szCs w:val="24"/>
        </w:rPr>
        <w:t xml:space="preserve"> </w:t>
      </w:r>
      <w:r w:rsidR="00693541" w:rsidRPr="00693541">
        <w:rPr>
          <w:sz w:val="24"/>
          <w:szCs w:val="24"/>
        </w:rPr>
        <w:t>et feuilles de travail incluant des exercices</w:t>
      </w:r>
      <w:r w:rsidRPr="00693541">
        <w:rPr>
          <w:sz w:val="24"/>
          <w:szCs w:val="24"/>
        </w:rPr>
        <w:t xml:space="preserve"> / </w:t>
      </w:r>
      <w:r w:rsidR="00693541">
        <w:rPr>
          <w:sz w:val="24"/>
          <w:szCs w:val="24"/>
        </w:rPr>
        <w:t>questions sur lesquelles travailler à partir des REL sur le développement durable.</w:t>
      </w:r>
    </w:p>
    <w:p w:rsidR="008953D8" w:rsidRPr="000C7D61" w:rsidRDefault="0082108B" w:rsidP="008953D8">
      <w:pPr>
        <w:pStyle w:val="Listenabsatz"/>
        <w:numPr>
          <w:ilvl w:val="0"/>
          <w:numId w:val="2"/>
        </w:numPr>
        <w:spacing w:after="160" w:line="259" w:lineRule="auto"/>
        <w:jc w:val="both"/>
        <w:rPr>
          <w:sz w:val="24"/>
          <w:szCs w:val="24"/>
          <w:u w:val="single"/>
        </w:rPr>
      </w:pPr>
      <w:hyperlink w:anchor="_OER_PART_6" w:history="1">
        <w:r w:rsidR="00EF5846">
          <w:rPr>
            <w:rStyle w:val="Hyperlink"/>
            <w:sz w:val="24"/>
            <w:szCs w:val="24"/>
          </w:rPr>
          <w:t>REL</w:t>
        </w:r>
        <w:r w:rsidR="008953D8" w:rsidRPr="000C7D61">
          <w:rPr>
            <w:rStyle w:val="Hyperlink"/>
            <w:sz w:val="24"/>
            <w:szCs w:val="24"/>
          </w:rPr>
          <w:t xml:space="preserve"> – PART</w:t>
        </w:r>
        <w:r w:rsidR="00EF5846">
          <w:rPr>
            <w:rStyle w:val="Hyperlink"/>
            <w:sz w:val="24"/>
            <w:szCs w:val="24"/>
          </w:rPr>
          <w:t>IE</w:t>
        </w:r>
        <w:r w:rsidR="008953D8" w:rsidRPr="000C7D61">
          <w:rPr>
            <w:rStyle w:val="Hyperlink"/>
            <w:sz w:val="24"/>
            <w:szCs w:val="24"/>
          </w:rPr>
          <w:t xml:space="preserve"> 5</w:t>
        </w:r>
      </w:hyperlink>
      <w:r w:rsidR="008953D8" w:rsidRPr="000C7D61">
        <w:rPr>
          <w:sz w:val="24"/>
          <w:szCs w:val="24"/>
          <w:u w:val="single"/>
        </w:rPr>
        <w:t>:</w:t>
      </w:r>
    </w:p>
    <w:p w:rsidR="008953D8" w:rsidRPr="00693541" w:rsidRDefault="00693541" w:rsidP="008953D8">
      <w:pPr>
        <w:pStyle w:val="Listenabsatz"/>
        <w:jc w:val="both"/>
        <w:rPr>
          <w:sz w:val="24"/>
          <w:szCs w:val="24"/>
        </w:rPr>
      </w:pPr>
      <w:r w:rsidRPr="00693541">
        <w:rPr>
          <w:sz w:val="24"/>
          <w:szCs w:val="24"/>
        </w:rPr>
        <w:t>Questionnaire d’évaluation de la REL (à remplir individuelle</w:t>
      </w:r>
      <w:r>
        <w:rPr>
          <w:sz w:val="24"/>
          <w:szCs w:val="24"/>
        </w:rPr>
        <w:t>ment ou en groupe.</w:t>
      </w:r>
      <w:r w:rsidR="008953D8" w:rsidRPr="00693541">
        <w:rPr>
          <w:sz w:val="24"/>
          <w:szCs w:val="24"/>
        </w:rPr>
        <w:t xml:space="preserve"> </w:t>
      </w:r>
    </w:p>
    <w:p w:rsidR="000E3FCE" w:rsidRPr="00693541" w:rsidRDefault="0082108B" w:rsidP="008953D8">
      <w:pPr>
        <w:pStyle w:val="Listenabsatz"/>
        <w:numPr>
          <w:ilvl w:val="0"/>
          <w:numId w:val="2"/>
        </w:numPr>
        <w:spacing w:after="160" w:line="259" w:lineRule="auto"/>
        <w:jc w:val="both"/>
        <w:rPr>
          <w:sz w:val="24"/>
          <w:szCs w:val="24"/>
        </w:rPr>
      </w:pPr>
      <w:hyperlink w:anchor="_OER_PART_6" w:history="1">
        <w:r w:rsidR="00EF5846" w:rsidRPr="00693541">
          <w:rPr>
            <w:rStyle w:val="Hyperlink"/>
            <w:sz w:val="24"/>
            <w:szCs w:val="24"/>
          </w:rPr>
          <w:t>REL</w:t>
        </w:r>
        <w:r w:rsidR="008953D8" w:rsidRPr="00693541">
          <w:rPr>
            <w:rStyle w:val="Hyperlink"/>
            <w:sz w:val="24"/>
            <w:szCs w:val="24"/>
          </w:rPr>
          <w:t xml:space="preserve"> – PART</w:t>
        </w:r>
        <w:r w:rsidR="00EF5846" w:rsidRPr="00693541">
          <w:rPr>
            <w:rStyle w:val="Hyperlink"/>
            <w:sz w:val="24"/>
            <w:szCs w:val="24"/>
          </w:rPr>
          <w:t>IE</w:t>
        </w:r>
        <w:r w:rsidR="008953D8" w:rsidRPr="00693541">
          <w:rPr>
            <w:rStyle w:val="Hyperlink"/>
            <w:sz w:val="24"/>
            <w:szCs w:val="24"/>
          </w:rPr>
          <w:t xml:space="preserve"> 6</w:t>
        </w:r>
      </w:hyperlink>
      <w:r w:rsidR="008953D8" w:rsidRPr="00693541">
        <w:rPr>
          <w:sz w:val="24"/>
          <w:szCs w:val="24"/>
          <w:u w:val="single"/>
        </w:rPr>
        <w:t>:</w:t>
      </w:r>
      <w:r w:rsidR="008953D8" w:rsidRPr="00693541">
        <w:rPr>
          <w:sz w:val="24"/>
          <w:szCs w:val="24"/>
        </w:rPr>
        <w:t xml:space="preserve"> </w:t>
      </w:r>
    </w:p>
    <w:p w:rsidR="008953D8" w:rsidRPr="00F1731B" w:rsidRDefault="00693541" w:rsidP="000E3FCE">
      <w:pPr>
        <w:pStyle w:val="Listenabsatz"/>
        <w:spacing w:after="160" w:line="259" w:lineRule="auto"/>
        <w:jc w:val="both"/>
        <w:rPr>
          <w:sz w:val="24"/>
          <w:szCs w:val="24"/>
        </w:rPr>
      </w:pPr>
      <w:r>
        <w:rPr>
          <w:sz w:val="24"/>
          <w:szCs w:val="24"/>
        </w:rPr>
        <w:t>Logist</w:t>
      </w:r>
      <w:r w:rsidR="0018509D">
        <w:rPr>
          <w:sz w:val="24"/>
          <w:szCs w:val="24"/>
        </w:rPr>
        <w:t xml:space="preserve">ique Durable. Définition courte, liens </w:t>
      </w:r>
      <w:r w:rsidR="00313DFF" w:rsidRPr="00313DFF">
        <w:rPr>
          <w:sz w:val="24"/>
          <w:szCs w:val="24"/>
        </w:rPr>
        <w:t>vers le sit</w:t>
      </w:r>
      <w:r w:rsidR="00313DFF">
        <w:rPr>
          <w:sz w:val="24"/>
          <w:szCs w:val="24"/>
        </w:rPr>
        <w:t>e web où figure des REL sur la Logistique D</w:t>
      </w:r>
      <w:r w:rsidR="00313DFF" w:rsidRPr="00313DFF">
        <w:rPr>
          <w:sz w:val="24"/>
          <w:szCs w:val="24"/>
        </w:rPr>
        <w:t>urable</w:t>
      </w:r>
      <w:r w:rsidR="00313DFF">
        <w:rPr>
          <w:sz w:val="24"/>
          <w:szCs w:val="24"/>
        </w:rPr>
        <w:t xml:space="preserve">, l’environnement et le transport, incluant une courte vidéo et des exercices. </w:t>
      </w:r>
    </w:p>
    <w:p w:rsidR="000E3FCE" w:rsidRDefault="0082108B" w:rsidP="008953D8">
      <w:pPr>
        <w:pStyle w:val="Listenabsatz"/>
        <w:numPr>
          <w:ilvl w:val="0"/>
          <w:numId w:val="2"/>
        </w:numPr>
        <w:spacing w:after="160" w:line="259" w:lineRule="auto"/>
        <w:jc w:val="both"/>
        <w:rPr>
          <w:sz w:val="24"/>
          <w:szCs w:val="24"/>
          <w:lang w:val="en-GB"/>
        </w:rPr>
      </w:pPr>
      <w:hyperlink w:anchor="_OER_PART_7" w:history="1">
        <w:r w:rsidR="00313DFF">
          <w:rPr>
            <w:rStyle w:val="Hyperlink"/>
            <w:sz w:val="24"/>
            <w:szCs w:val="24"/>
            <w:lang w:val="en-GB"/>
          </w:rPr>
          <w:t>REL</w:t>
        </w:r>
        <w:r w:rsidR="008953D8" w:rsidRPr="000C7D61">
          <w:rPr>
            <w:rStyle w:val="Hyperlink"/>
            <w:sz w:val="24"/>
            <w:szCs w:val="24"/>
            <w:lang w:val="en-GB"/>
          </w:rPr>
          <w:t xml:space="preserve"> – PART</w:t>
        </w:r>
        <w:r w:rsidR="00313DFF">
          <w:rPr>
            <w:rStyle w:val="Hyperlink"/>
            <w:sz w:val="24"/>
            <w:szCs w:val="24"/>
            <w:lang w:val="en-GB"/>
          </w:rPr>
          <w:t>IE</w:t>
        </w:r>
        <w:r w:rsidR="008953D8" w:rsidRPr="000C7D61">
          <w:rPr>
            <w:rStyle w:val="Hyperlink"/>
            <w:sz w:val="24"/>
            <w:szCs w:val="24"/>
            <w:lang w:val="en-GB"/>
          </w:rPr>
          <w:t xml:space="preserve"> 7</w:t>
        </w:r>
      </w:hyperlink>
      <w:r w:rsidR="008953D8" w:rsidRPr="000C7D61">
        <w:rPr>
          <w:sz w:val="24"/>
          <w:szCs w:val="24"/>
          <w:u w:val="single"/>
          <w:lang w:val="en-GB"/>
        </w:rPr>
        <w:t>:</w:t>
      </w:r>
      <w:r w:rsidR="008953D8" w:rsidRPr="000C7D61">
        <w:rPr>
          <w:sz w:val="24"/>
          <w:szCs w:val="24"/>
          <w:lang w:val="en-GB"/>
        </w:rPr>
        <w:t xml:space="preserve"> </w:t>
      </w:r>
    </w:p>
    <w:p w:rsidR="008953D8" w:rsidRPr="00313DFF" w:rsidRDefault="00313DFF" w:rsidP="000E3FCE">
      <w:pPr>
        <w:pStyle w:val="Listenabsatz"/>
        <w:spacing w:after="160" w:line="259" w:lineRule="auto"/>
        <w:jc w:val="both"/>
        <w:rPr>
          <w:sz w:val="24"/>
          <w:szCs w:val="24"/>
        </w:rPr>
      </w:pPr>
      <w:r w:rsidRPr="00313DFF">
        <w:rPr>
          <w:sz w:val="24"/>
          <w:szCs w:val="24"/>
        </w:rPr>
        <w:t xml:space="preserve">Liste de </w:t>
      </w:r>
      <w:r w:rsidR="0018509D" w:rsidRPr="00313DFF">
        <w:rPr>
          <w:sz w:val="24"/>
          <w:szCs w:val="24"/>
        </w:rPr>
        <w:t>référence</w:t>
      </w:r>
      <w:r w:rsidR="0018509D">
        <w:rPr>
          <w:sz w:val="24"/>
          <w:szCs w:val="24"/>
        </w:rPr>
        <w:t>s</w:t>
      </w:r>
      <w:r w:rsidRPr="00313DFF">
        <w:rPr>
          <w:sz w:val="24"/>
          <w:szCs w:val="24"/>
        </w:rPr>
        <w:t xml:space="preserve"> pour des coopérations dans la logistique </w:t>
      </w:r>
    </w:p>
    <w:p w:rsidR="008953D8" w:rsidRPr="00F1731B" w:rsidRDefault="00313DFF" w:rsidP="008953D8">
      <w:pPr>
        <w:rPr>
          <w:b/>
          <w:sz w:val="24"/>
          <w:szCs w:val="24"/>
        </w:rPr>
      </w:pPr>
      <w:r w:rsidRPr="00313DFF">
        <w:rPr>
          <w:b/>
          <w:sz w:val="24"/>
          <w:szCs w:val="24"/>
        </w:rPr>
        <w:t xml:space="preserve">Pour plus de </w:t>
      </w:r>
      <w:r w:rsidR="0018509D" w:rsidRPr="00313DFF">
        <w:rPr>
          <w:b/>
          <w:sz w:val="24"/>
          <w:szCs w:val="24"/>
        </w:rPr>
        <w:t>détails</w:t>
      </w:r>
      <w:r w:rsidRPr="00313DFF">
        <w:rPr>
          <w:b/>
          <w:sz w:val="24"/>
          <w:szCs w:val="24"/>
        </w:rPr>
        <w:t>, vous référer à l’IO</w:t>
      </w:r>
      <w:r>
        <w:rPr>
          <w:b/>
          <w:sz w:val="24"/>
          <w:szCs w:val="24"/>
        </w:rPr>
        <w:t xml:space="preserve">4 Greenskills4VET. </w:t>
      </w:r>
    </w:p>
    <w:p w:rsidR="008953D8" w:rsidRPr="00F1731B" w:rsidRDefault="008953D8" w:rsidP="008953D8">
      <w:pPr>
        <w:rPr>
          <w:b/>
          <w:sz w:val="24"/>
          <w:szCs w:val="24"/>
        </w:rPr>
      </w:pPr>
    </w:p>
    <w:p w:rsidR="008953D8" w:rsidRPr="008953D8" w:rsidRDefault="00F1731B" w:rsidP="008953D8">
      <w:pPr>
        <w:pStyle w:val="Listenabsatz"/>
        <w:numPr>
          <w:ilvl w:val="1"/>
          <w:numId w:val="1"/>
        </w:numPr>
        <w:rPr>
          <w:b/>
          <w:sz w:val="32"/>
          <w:szCs w:val="32"/>
          <w:u w:val="single"/>
          <w:lang w:val="en-GB"/>
        </w:rPr>
      </w:pPr>
      <w:r>
        <w:rPr>
          <w:b/>
          <w:sz w:val="32"/>
          <w:szCs w:val="32"/>
          <w:u w:val="single"/>
          <w:lang w:val="en-GB"/>
        </w:rPr>
        <w:t>La description du module</w:t>
      </w:r>
      <w:r w:rsidR="008953D8" w:rsidRPr="008953D8">
        <w:rPr>
          <w:b/>
          <w:sz w:val="32"/>
          <w:szCs w:val="32"/>
          <w:u w:val="single"/>
          <w:lang w:val="en-GB"/>
        </w:rPr>
        <w:t>:</w:t>
      </w:r>
    </w:p>
    <w:p w:rsidR="008953D8" w:rsidRPr="0011560E" w:rsidRDefault="0011560E" w:rsidP="008953D8">
      <w:pPr>
        <w:rPr>
          <w:b/>
          <w:sz w:val="24"/>
          <w:szCs w:val="24"/>
          <w:u w:val="single"/>
        </w:rPr>
      </w:pPr>
      <w:r w:rsidRPr="0011560E">
        <w:rPr>
          <w:rFonts w:ascii="Cambria" w:hAnsi="Cambria"/>
          <w:lang w:eastAsia="de-AT"/>
        </w:rPr>
        <w:lastRenderedPageBreak/>
        <w:t>Ce tableau donne un aperçu général du module, fournissant les informations clé</w:t>
      </w:r>
      <w:r w:rsidR="0003259A">
        <w:rPr>
          <w:rFonts w:ascii="Cambria" w:hAnsi="Cambria"/>
          <w:lang w:eastAsia="de-AT"/>
        </w:rPr>
        <w:t>s</w:t>
      </w:r>
      <w:r w:rsidRPr="0011560E">
        <w:rPr>
          <w:rFonts w:ascii="Cambria" w:hAnsi="Cambria"/>
          <w:lang w:eastAsia="de-AT"/>
        </w:rPr>
        <w:t xml:space="preserve"> sur l’Education au Développement Durable (EDD), la formation professionnelle et le niveau de dipl</w:t>
      </w:r>
      <w:r>
        <w:rPr>
          <w:rFonts w:ascii="Cambria" w:hAnsi="Cambria"/>
          <w:lang w:eastAsia="de-AT"/>
        </w:rPr>
        <w:t xml:space="preserve">ôme visé. </w:t>
      </w:r>
    </w:p>
    <w:p w:rsidR="008953D8" w:rsidRPr="00A80A20" w:rsidRDefault="00A80A20" w:rsidP="008953D8">
      <w:pPr>
        <w:rPr>
          <w:rFonts w:ascii="Cambria" w:hAnsi="Cambria"/>
          <w:b/>
          <w:sz w:val="28"/>
          <w:szCs w:val="28"/>
          <w:lang w:eastAsia="de-AT"/>
        </w:rPr>
      </w:pPr>
      <w:r>
        <w:rPr>
          <w:rFonts w:ascii="Cambria" w:hAnsi="Cambria"/>
          <w:b/>
          <w:sz w:val="28"/>
          <w:szCs w:val="28"/>
          <w:lang w:eastAsia="de-AT"/>
        </w:rPr>
        <w:t>Informations clés à propos du module</w:t>
      </w:r>
      <w:r w:rsidRPr="00A80A20">
        <w:rPr>
          <w:rFonts w:ascii="Cambria" w:hAnsi="Cambria"/>
          <w:b/>
          <w:sz w:val="28"/>
          <w:szCs w:val="28"/>
          <w:lang w:eastAsia="de-AT"/>
        </w:rPr>
        <w:t xml:space="preserve"> REL sur la logistique</w:t>
      </w:r>
    </w:p>
    <w:tbl>
      <w:tblPr>
        <w:tblStyle w:val="Tabellenraster"/>
        <w:tblW w:w="0" w:type="auto"/>
        <w:tblLook w:val="04A0" w:firstRow="1" w:lastRow="0" w:firstColumn="1" w:lastColumn="0" w:noHBand="0" w:noVBand="1"/>
      </w:tblPr>
      <w:tblGrid>
        <w:gridCol w:w="9212"/>
      </w:tblGrid>
      <w:tr w:rsidR="008953D8" w:rsidRPr="0011560E" w:rsidTr="001809CB">
        <w:trPr>
          <w:trHeight w:val="248"/>
        </w:trPr>
        <w:tc>
          <w:tcPr>
            <w:tcW w:w="9212" w:type="dxa"/>
            <w:shd w:val="clear" w:color="auto" w:fill="F2F2F2" w:themeFill="background1" w:themeFillShade="F2"/>
          </w:tcPr>
          <w:p w:rsidR="008953D8" w:rsidRPr="0011560E" w:rsidRDefault="0011560E" w:rsidP="00E379A4">
            <w:pPr>
              <w:tabs>
                <w:tab w:val="left" w:pos="1185"/>
              </w:tabs>
              <w:spacing w:after="0"/>
              <w:rPr>
                <w:rFonts w:ascii="Cambria" w:hAnsi="Cambria"/>
              </w:rPr>
            </w:pPr>
            <w:r w:rsidRPr="0011560E">
              <w:rPr>
                <w:rFonts w:ascii="Cambria" w:hAnsi="Cambria"/>
              </w:rPr>
              <w:t>Titre du module, secteur (Santé/Logistique), intitule de l’emploi, niveau de dipl</w:t>
            </w:r>
            <w:r>
              <w:rPr>
                <w:rFonts w:ascii="Cambria" w:hAnsi="Cambria"/>
              </w:rPr>
              <w:t>ôme visé (</w:t>
            </w:r>
            <w:r w:rsidR="004C45E2">
              <w:rPr>
                <w:rFonts w:ascii="Cambria" w:hAnsi="Cambria"/>
              </w:rPr>
              <w:t xml:space="preserve">Cadre européen des certifications </w:t>
            </w:r>
            <w:r w:rsidR="00E379A4">
              <w:rPr>
                <w:rFonts w:ascii="Cambria" w:hAnsi="Cambria"/>
              </w:rPr>
              <w:t>CEC</w:t>
            </w:r>
            <w:r>
              <w:rPr>
                <w:rFonts w:ascii="Cambria" w:hAnsi="Cambria"/>
              </w:rPr>
              <w:t>)</w:t>
            </w:r>
          </w:p>
        </w:tc>
      </w:tr>
      <w:tr w:rsidR="008953D8" w:rsidRPr="0011560E" w:rsidTr="001809CB">
        <w:trPr>
          <w:trHeight w:val="247"/>
        </w:trPr>
        <w:tc>
          <w:tcPr>
            <w:tcW w:w="9212" w:type="dxa"/>
          </w:tcPr>
          <w:p w:rsidR="008953D8" w:rsidRPr="0011560E" w:rsidRDefault="0011560E" w:rsidP="004C45E2">
            <w:pPr>
              <w:rPr>
                <w:rFonts w:ascii="Cambria" w:hAnsi="Cambria"/>
              </w:rPr>
            </w:pPr>
            <w:r w:rsidRPr="0011560E">
              <w:rPr>
                <w:rFonts w:ascii="Cambria" w:hAnsi="Cambria"/>
              </w:rPr>
              <w:t xml:space="preserve">Logistique Durable, </w:t>
            </w:r>
            <w:r w:rsidR="00236AA2">
              <w:rPr>
                <w:rFonts w:ascii="Cambria" w:hAnsi="Cambria"/>
              </w:rPr>
              <w:t>a</w:t>
            </w:r>
            <w:r w:rsidR="004C45E2" w:rsidRPr="0011560E">
              <w:rPr>
                <w:rFonts w:ascii="Cambria" w:hAnsi="Cambria"/>
              </w:rPr>
              <w:t>ffréteur</w:t>
            </w:r>
            <w:r w:rsidRPr="0011560E">
              <w:rPr>
                <w:rFonts w:ascii="Cambria" w:hAnsi="Cambria"/>
              </w:rPr>
              <w:t xml:space="preserve"> logistique, niv</w:t>
            </w:r>
            <w:r w:rsidR="004C45E2">
              <w:rPr>
                <w:rFonts w:ascii="Cambria" w:hAnsi="Cambria"/>
              </w:rPr>
              <w:t>eau 4/5 EQF</w:t>
            </w:r>
          </w:p>
        </w:tc>
      </w:tr>
      <w:tr w:rsidR="008953D8" w:rsidRPr="004C45E2" w:rsidTr="001809CB">
        <w:tc>
          <w:tcPr>
            <w:tcW w:w="9212" w:type="dxa"/>
            <w:shd w:val="clear" w:color="auto" w:fill="F2F2F2" w:themeFill="background1" w:themeFillShade="F2"/>
          </w:tcPr>
          <w:p w:rsidR="008953D8" w:rsidRPr="004C45E2" w:rsidRDefault="004C45E2" w:rsidP="004C45E2">
            <w:pPr>
              <w:tabs>
                <w:tab w:val="left" w:pos="1185"/>
              </w:tabs>
              <w:spacing w:after="0"/>
              <w:rPr>
                <w:rFonts w:ascii="Cambria" w:hAnsi="Cambria"/>
              </w:rPr>
            </w:pPr>
            <w:r w:rsidRPr="004C45E2">
              <w:rPr>
                <w:rFonts w:ascii="Cambria" w:hAnsi="Cambria"/>
              </w:rPr>
              <w:t>Ressource type du module</w:t>
            </w:r>
            <w:r w:rsidR="008953D8" w:rsidRPr="004C45E2">
              <w:rPr>
                <w:rFonts w:ascii="Cambria" w:hAnsi="Cambria"/>
              </w:rPr>
              <w:t xml:space="preserve"> (</w:t>
            </w:r>
            <w:r w:rsidR="00921FCC" w:rsidRPr="004C45E2">
              <w:rPr>
                <w:rFonts w:ascii="Cambria" w:hAnsi="Cambria"/>
              </w:rPr>
              <w:t>exemple :</w:t>
            </w:r>
            <w:r w:rsidRPr="004C45E2">
              <w:rPr>
                <w:rFonts w:ascii="Cambria" w:hAnsi="Cambria"/>
              </w:rPr>
              <w:t xml:space="preserve"> cours, WebQuest) </w:t>
            </w:r>
          </w:p>
        </w:tc>
      </w:tr>
      <w:tr w:rsidR="008953D8" w:rsidRPr="004C45E2" w:rsidTr="001809CB">
        <w:tc>
          <w:tcPr>
            <w:tcW w:w="9212" w:type="dxa"/>
          </w:tcPr>
          <w:p w:rsidR="008953D8" w:rsidRPr="004C45E2" w:rsidRDefault="004C45E2" w:rsidP="004C45E2">
            <w:pPr>
              <w:rPr>
                <w:rFonts w:ascii="Cambria" w:hAnsi="Cambria"/>
              </w:rPr>
            </w:pPr>
            <w:r>
              <w:rPr>
                <w:rFonts w:ascii="Cambria" w:hAnsi="Cambria"/>
              </w:rPr>
              <w:t>Regroupement de REL déjà produites et de nouvelles REL</w:t>
            </w:r>
            <w:r w:rsidR="0018509D">
              <w:rPr>
                <w:rFonts w:ascii="Cambria" w:hAnsi="Cambria"/>
              </w:rPr>
              <w:t xml:space="preserve"> (t</w:t>
            </w:r>
            <w:r w:rsidR="008953D8" w:rsidRPr="004C45E2">
              <w:rPr>
                <w:rFonts w:ascii="Cambria" w:hAnsi="Cambria"/>
              </w:rPr>
              <w:t>ext</w:t>
            </w:r>
            <w:r>
              <w:rPr>
                <w:rFonts w:ascii="Cambria" w:hAnsi="Cambria"/>
              </w:rPr>
              <w:t>e</w:t>
            </w:r>
            <w:r w:rsidR="0018509D">
              <w:rPr>
                <w:rFonts w:ascii="Cambria" w:hAnsi="Cambria"/>
              </w:rPr>
              <w:t>s</w:t>
            </w:r>
            <w:r w:rsidR="008953D8" w:rsidRPr="004C45E2">
              <w:rPr>
                <w:rFonts w:ascii="Cambria" w:hAnsi="Cambria"/>
              </w:rPr>
              <w:t xml:space="preserve">, </w:t>
            </w:r>
            <w:r>
              <w:rPr>
                <w:rFonts w:ascii="Cambria" w:hAnsi="Cambria"/>
              </w:rPr>
              <w:t>feuille</w:t>
            </w:r>
            <w:r w:rsidR="008953D8" w:rsidRPr="004C45E2">
              <w:rPr>
                <w:rFonts w:ascii="Cambria" w:hAnsi="Cambria"/>
              </w:rPr>
              <w:t>s</w:t>
            </w:r>
            <w:r>
              <w:rPr>
                <w:rFonts w:ascii="Cambria" w:hAnsi="Cambria"/>
              </w:rPr>
              <w:t xml:space="preserve"> de travail, vidéos</w:t>
            </w:r>
            <w:r w:rsidR="008953D8" w:rsidRPr="004C45E2">
              <w:rPr>
                <w:rFonts w:ascii="Cambria" w:hAnsi="Cambria"/>
              </w:rPr>
              <w:t xml:space="preserve">, </w:t>
            </w:r>
            <w:r w:rsidR="000E3FCE" w:rsidRPr="004C45E2">
              <w:rPr>
                <w:rFonts w:ascii="Cambria" w:hAnsi="Cambria"/>
              </w:rPr>
              <w:t>PowerPoint</w:t>
            </w:r>
            <w:r>
              <w:rPr>
                <w:rFonts w:ascii="Cambria" w:hAnsi="Cambria"/>
              </w:rPr>
              <w:t>, exercices interactifs</w:t>
            </w:r>
            <w:r w:rsidR="008953D8" w:rsidRPr="004C45E2">
              <w:rPr>
                <w:rFonts w:ascii="Cambria" w:hAnsi="Cambria"/>
              </w:rPr>
              <w:t xml:space="preserve">) </w:t>
            </w:r>
          </w:p>
        </w:tc>
      </w:tr>
      <w:tr w:rsidR="008953D8" w:rsidRPr="001D58C7" w:rsidTr="001809CB">
        <w:tc>
          <w:tcPr>
            <w:tcW w:w="9212" w:type="dxa"/>
            <w:shd w:val="clear" w:color="auto" w:fill="F2F2F2" w:themeFill="background1" w:themeFillShade="F2"/>
          </w:tcPr>
          <w:p w:rsidR="008953D8" w:rsidRPr="001D58C7" w:rsidRDefault="001D58C7" w:rsidP="001809CB">
            <w:pPr>
              <w:tabs>
                <w:tab w:val="left" w:pos="1185"/>
              </w:tabs>
              <w:spacing w:after="0"/>
              <w:rPr>
                <w:rFonts w:ascii="Cambria" w:hAnsi="Cambria"/>
              </w:rPr>
            </w:pPr>
            <w:r w:rsidRPr="001D58C7">
              <w:rPr>
                <w:rFonts w:ascii="Cambria" w:hAnsi="Cambria"/>
                <w:shd w:val="clear" w:color="auto" w:fill="F2F2F2" w:themeFill="background1" w:themeFillShade="F2"/>
              </w:rPr>
              <w:t>Format des media</w:t>
            </w:r>
            <w:r w:rsidR="008953D8" w:rsidRPr="001D58C7">
              <w:rPr>
                <w:rFonts w:ascii="Cambria" w:hAnsi="Cambria"/>
                <w:shd w:val="clear" w:color="auto" w:fill="F2F2F2" w:themeFill="background1" w:themeFillShade="F2"/>
              </w:rPr>
              <w:t xml:space="preserve"> (</w:t>
            </w:r>
            <w:r w:rsidR="00921FCC">
              <w:rPr>
                <w:rFonts w:ascii="Cambria" w:hAnsi="Cambria"/>
                <w:shd w:val="clear" w:color="auto" w:fill="F2F2F2" w:themeFill="background1" w:themeFillShade="F2"/>
              </w:rPr>
              <w:t>e</w:t>
            </w:r>
            <w:r w:rsidR="00921FCC" w:rsidRPr="001D58C7">
              <w:rPr>
                <w:rFonts w:ascii="Cambria" w:hAnsi="Cambria"/>
                <w:shd w:val="clear" w:color="auto" w:fill="F2F2F2" w:themeFill="background1" w:themeFillShade="F2"/>
              </w:rPr>
              <w:t>xemple :</w:t>
            </w:r>
            <w:r w:rsidRPr="001D58C7">
              <w:rPr>
                <w:rFonts w:ascii="Cambria" w:hAnsi="Cambria"/>
                <w:shd w:val="clear" w:color="auto" w:fill="F2F2F2" w:themeFill="background1" w:themeFillShade="F2"/>
              </w:rPr>
              <w:t xml:space="preserve"> textes, vidéos, images, audio, qu</w:t>
            </w:r>
            <w:r>
              <w:rPr>
                <w:rFonts w:ascii="Cambria" w:hAnsi="Cambria"/>
                <w:shd w:val="clear" w:color="auto" w:fill="F2F2F2" w:themeFill="background1" w:themeFillShade="F2"/>
              </w:rPr>
              <w:t>estionnaires et jeux, multimedia</w:t>
            </w:r>
            <w:r w:rsidR="008953D8" w:rsidRPr="001D58C7">
              <w:rPr>
                <w:rFonts w:ascii="Cambria" w:hAnsi="Cambria"/>
                <w:shd w:val="clear" w:color="auto" w:fill="F2F2F2" w:themeFill="background1" w:themeFillShade="F2"/>
              </w:rPr>
              <w:t>)</w:t>
            </w:r>
          </w:p>
        </w:tc>
      </w:tr>
      <w:tr w:rsidR="008953D8" w:rsidTr="001809CB">
        <w:tc>
          <w:tcPr>
            <w:tcW w:w="9212" w:type="dxa"/>
          </w:tcPr>
          <w:p w:rsidR="008953D8" w:rsidRPr="001D58C7" w:rsidRDefault="000E3FCE" w:rsidP="000E3FCE">
            <w:pPr>
              <w:rPr>
                <w:rFonts w:ascii="Cambria" w:hAnsi="Cambria"/>
              </w:rPr>
            </w:pPr>
            <w:r w:rsidRPr="001D58C7">
              <w:rPr>
                <w:rFonts w:ascii="Cambria" w:hAnsi="Cambria"/>
              </w:rPr>
              <w:t>Text</w:t>
            </w:r>
            <w:r w:rsidR="001D58C7" w:rsidRPr="001D58C7">
              <w:rPr>
                <w:rFonts w:ascii="Cambria" w:hAnsi="Cambria"/>
              </w:rPr>
              <w:t>e</w:t>
            </w:r>
            <w:r w:rsidRPr="001D58C7">
              <w:rPr>
                <w:rFonts w:ascii="Cambria" w:hAnsi="Cambria"/>
              </w:rPr>
              <w:t>,</w:t>
            </w:r>
            <w:r w:rsidR="001D58C7" w:rsidRPr="001D58C7">
              <w:rPr>
                <w:rFonts w:ascii="Cambria" w:hAnsi="Cambria"/>
              </w:rPr>
              <w:t xml:space="preserve"> Video</w:t>
            </w:r>
            <w:r w:rsidRPr="001D58C7">
              <w:rPr>
                <w:rFonts w:ascii="Cambria" w:hAnsi="Cambria"/>
              </w:rPr>
              <w:t xml:space="preserve"> (YouTube)</w:t>
            </w:r>
            <w:r w:rsidR="008953D8" w:rsidRPr="001D58C7">
              <w:rPr>
                <w:rFonts w:ascii="Cambria" w:hAnsi="Cambria"/>
              </w:rPr>
              <w:t xml:space="preserve">, </w:t>
            </w:r>
            <w:r w:rsidR="001D58C7" w:rsidRPr="001D58C7">
              <w:rPr>
                <w:rFonts w:ascii="Cambria" w:hAnsi="Cambria"/>
              </w:rPr>
              <w:t xml:space="preserve">document de </w:t>
            </w:r>
            <w:r w:rsidR="0018509D" w:rsidRPr="001D58C7">
              <w:rPr>
                <w:rFonts w:ascii="Cambria" w:hAnsi="Cambria"/>
              </w:rPr>
              <w:t>présentation</w:t>
            </w:r>
            <w:r w:rsidR="001D58C7" w:rsidRPr="001D58C7">
              <w:rPr>
                <w:rFonts w:ascii="Cambria" w:hAnsi="Cambria"/>
              </w:rPr>
              <w:t xml:space="preserve"> </w:t>
            </w:r>
            <w:r w:rsidRPr="001D58C7">
              <w:rPr>
                <w:rFonts w:ascii="Cambria" w:hAnsi="Cambria"/>
              </w:rPr>
              <w:t>PowerPoint</w:t>
            </w:r>
          </w:p>
        </w:tc>
      </w:tr>
      <w:tr w:rsidR="008953D8" w:rsidRPr="001D58C7" w:rsidTr="001809CB">
        <w:tc>
          <w:tcPr>
            <w:tcW w:w="9212" w:type="dxa"/>
            <w:shd w:val="clear" w:color="auto" w:fill="F2F2F2" w:themeFill="background1" w:themeFillShade="F2"/>
          </w:tcPr>
          <w:p w:rsidR="008953D8" w:rsidRPr="001D58C7" w:rsidRDefault="001D58C7" w:rsidP="001D58C7">
            <w:pPr>
              <w:tabs>
                <w:tab w:val="left" w:pos="1185"/>
                <w:tab w:val="center" w:pos="4498"/>
              </w:tabs>
              <w:spacing w:after="0"/>
              <w:rPr>
                <w:rFonts w:ascii="Cambria" w:hAnsi="Cambria"/>
              </w:rPr>
            </w:pPr>
            <w:r w:rsidRPr="001D58C7">
              <w:rPr>
                <w:rFonts w:ascii="Cambria" w:hAnsi="Cambria"/>
              </w:rPr>
              <w:t>Description courte du module en contexte (</w:t>
            </w:r>
            <w:r>
              <w:rPr>
                <w:rFonts w:ascii="Cambria" w:hAnsi="Cambria"/>
              </w:rPr>
              <w:t>scenario en situation de travail)</w:t>
            </w:r>
          </w:p>
        </w:tc>
      </w:tr>
      <w:tr w:rsidR="008953D8" w:rsidRPr="00F1731B" w:rsidTr="001809CB">
        <w:tc>
          <w:tcPr>
            <w:tcW w:w="9212" w:type="dxa"/>
          </w:tcPr>
          <w:p w:rsidR="001D58C7" w:rsidRDefault="001D58C7" w:rsidP="001D58C7">
            <w:pPr>
              <w:rPr>
                <w:rFonts w:ascii="Cambria" w:hAnsi="Cambria"/>
              </w:rPr>
            </w:pPr>
            <w:r w:rsidRPr="001D58C7">
              <w:rPr>
                <w:rFonts w:ascii="Cambria" w:hAnsi="Cambria"/>
              </w:rPr>
              <w:t xml:space="preserve">Le module se divise en trois </w:t>
            </w:r>
            <w:r w:rsidR="00BE1F69" w:rsidRPr="001D58C7">
              <w:rPr>
                <w:rFonts w:ascii="Cambria" w:hAnsi="Cambria"/>
              </w:rPr>
              <w:t>séquences</w:t>
            </w:r>
            <w:r w:rsidRPr="001D58C7">
              <w:rPr>
                <w:rFonts w:ascii="Cambria" w:hAnsi="Cambria"/>
              </w:rPr>
              <w:t xml:space="preserve">. </w:t>
            </w:r>
            <w:r>
              <w:rPr>
                <w:rFonts w:ascii="Cambria" w:hAnsi="Cambria"/>
              </w:rPr>
              <w:t xml:space="preserve">Pour chacune d’entre elle, nous avons cherché les REL déjà produites et/ou développé de nouvelles ressources. Le module et les séquences recouvrent les objectifs d’apprentissage suivants : </w:t>
            </w:r>
          </w:p>
          <w:p w:rsidR="008953D8" w:rsidRPr="00E64595" w:rsidRDefault="00E64595" w:rsidP="001D58C7">
            <w:pPr>
              <w:rPr>
                <w:rFonts w:ascii="Cambria" w:hAnsi="Cambria" w:cstheme="minorHAnsi"/>
                <w:b/>
              </w:rPr>
            </w:pPr>
            <w:r w:rsidRPr="00E64595">
              <w:rPr>
                <w:rFonts w:ascii="Cambria" w:hAnsi="Cambria"/>
                <w:b/>
              </w:rPr>
              <w:t xml:space="preserve">Séquence </w:t>
            </w:r>
            <w:r w:rsidR="00921FCC" w:rsidRPr="00E64595">
              <w:rPr>
                <w:rFonts w:ascii="Cambria" w:hAnsi="Cambria"/>
                <w:b/>
              </w:rPr>
              <w:t>1 :</w:t>
            </w:r>
            <w:r w:rsidRPr="00E64595">
              <w:rPr>
                <w:rFonts w:ascii="Cambria" w:hAnsi="Cambria"/>
                <w:b/>
              </w:rPr>
              <w:t xml:space="preserve"> Le concept de soutenabilité</w:t>
            </w:r>
          </w:p>
          <w:p w:rsidR="008953D8" w:rsidRPr="00925978" w:rsidRDefault="00E64595" w:rsidP="001809CB">
            <w:pPr>
              <w:pStyle w:val="Listenabsatz"/>
              <w:jc w:val="both"/>
              <w:rPr>
                <w:rFonts w:ascii="Cambria" w:hAnsi="Cambria" w:cstheme="minorHAnsi"/>
                <w:b/>
              </w:rPr>
            </w:pPr>
            <w:r w:rsidRPr="00E64595">
              <w:rPr>
                <w:rFonts w:ascii="Cambria" w:hAnsi="Cambria" w:cstheme="minorHAnsi"/>
              </w:rPr>
              <w:t xml:space="preserve">L’objectif </w:t>
            </w:r>
            <w:r w:rsidR="00BE1F69" w:rsidRPr="00E64595">
              <w:rPr>
                <w:rFonts w:ascii="Cambria" w:hAnsi="Cambria" w:cstheme="minorHAnsi"/>
              </w:rPr>
              <w:t>général</w:t>
            </w:r>
            <w:r w:rsidRPr="00E64595">
              <w:rPr>
                <w:rFonts w:ascii="Cambria" w:hAnsi="Cambria" w:cstheme="minorHAnsi"/>
              </w:rPr>
              <w:t xml:space="preserve"> de cette </w:t>
            </w:r>
            <w:r w:rsidR="00BE1F69" w:rsidRPr="00E64595">
              <w:rPr>
                <w:rFonts w:ascii="Cambria" w:hAnsi="Cambria" w:cstheme="minorHAnsi"/>
              </w:rPr>
              <w:t>séquence</w:t>
            </w:r>
            <w:r w:rsidRPr="00E64595">
              <w:rPr>
                <w:rFonts w:ascii="Cambria" w:hAnsi="Cambria" w:cstheme="minorHAnsi"/>
              </w:rPr>
              <w:t xml:space="preserve"> est d’introduire le</w:t>
            </w:r>
            <w:r w:rsidR="00A45315">
              <w:rPr>
                <w:rFonts w:ascii="Cambria" w:hAnsi="Cambria" w:cstheme="minorHAnsi"/>
              </w:rPr>
              <w:t>s</w:t>
            </w:r>
            <w:r w:rsidRPr="00E64595">
              <w:rPr>
                <w:rFonts w:ascii="Cambria" w:hAnsi="Cambria" w:cstheme="minorHAnsi"/>
              </w:rPr>
              <w:t xml:space="preserve"> concept</w:t>
            </w:r>
            <w:r w:rsidR="00A45315">
              <w:rPr>
                <w:rFonts w:ascii="Cambria" w:hAnsi="Cambria" w:cstheme="minorHAnsi"/>
              </w:rPr>
              <w:t>s</w:t>
            </w:r>
            <w:r w:rsidRPr="00E64595">
              <w:rPr>
                <w:rFonts w:ascii="Cambria" w:hAnsi="Cambria" w:cstheme="minorHAnsi"/>
              </w:rPr>
              <w:t xml:space="preserve"> de soutenabilité et de développement durable. Elle vise à donner un aperçu d’ensemble de la notion de soutenabilité</w:t>
            </w:r>
            <w:r>
              <w:rPr>
                <w:rFonts w:ascii="Cambria" w:hAnsi="Cambria" w:cstheme="minorHAnsi"/>
              </w:rPr>
              <w:t xml:space="preserve"> en introduisant s</w:t>
            </w:r>
            <w:r w:rsidRPr="00E64595">
              <w:rPr>
                <w:rFonts w:ascii="Cambria" w:hAnsi="Cambria" w:cstheme="minorHAnsi"/>
              </w:rPr>
              <w:t>es trois fondamentaux</w:t>
            </w:r>
            <w:r>
              <w:rPr>
                <w:rFonts w:ascii="Cambria" w:hAnsi="Cambria" w:cstheme="minorHAnsi"/>
              </w:rPr>
              <w:t xml:space="preserve"> et en offrant la possibilité aux apprenants de s’approprier le concept pour le mobiliser dans leur vie de tous les jours. </w:t>
            </w:r>
            <w:r w:rsidRPr="00E64595">
              <w:rPr>
                <w:rFonts w:ascii="Cambria" w:hAnsi="Cambria" w:cstheme="minorHAnsi"/>
              </w:rPr>
              <w:t xml:space="preserve"> </w:t>
            </w:r>
          </w:p>
          <w:p w:rsidR="008953D8" w:rsidRPr="00925978" w:rsidRDefault="008953D8" w:rsidP="001809CB">
            <w:pPr>
              <w:pStyle w:val="Listenabsatz"/>
              <w:rPr>
                <w:rFonts w:ascii="Cambria" w:hAnsi="Cambria"/>
                <w:highlight w:val="yellow"/>
              </w:rPr>
            </w:pPr>
          </w:p>
          <w:p w:rsidR="008953D8" w:rsidRPr="00CE7395" w:rsidRDefault="00A45315" w:rsidP="008953D8">
            <w:pPr>
              <w:pStyle w:val="Listenabsatz"/>
              <w:numPr>
                <w:ilvl w:val="0"/>
                <w:numId w:val="4"/>
              </w:numPr>
              <w:jc w:val="both"/>
              <w:rPr>
                <w:rFonts w:ascii="Cambria" w:hAnsi="Cambria" w:cstheme="minorHAnsi"/>
                <w:b/>
                <w:color w:val="333333"/>
              </w:rPr>
            </w:pPr>
            <w:r w:rsidRPr="00CE7395">
              <w:rPr>
                <w:rFonts w:ascii="Cambria" w:hAnsi="Cambria"/>
                <w:b/>
              </w:rPr>
              <w:t>Séquence</w:t>
            </w:r>
            <w:r w:rsidR="008953D8" w:rsidRPr="00CE7395">
              <w:rPr>
                <w:rFonts w:ascii="Cambria" w:hAnsi="Cambria"/>
                <w:b/>
              </w:rPr>
              <w:t xml:space="preserve"> </w:t>
            </w:r>
            <w:r w:rsidR="00921FCC" w:rsidRPr="00CE7395">
              <w:rPr>
                <w:rFonts w:ascii="Cambria" w:hAnsi="Cambria"/>
                <w:b/>
              </w:rPr>
              <w:t>2 :</w:t>
            </w:r>
            <w:r w:rsidR="008953D8" w:rsidRPr="00CE7395">
              <w:rPr>
                <w:rFonts w:ascii="Cambria" w:hAnsi="Cambria"/>
                <w:b/>
              </w:rPr>
              <w:t xml:space="preserve"> </w:t>
            </w:r>
            <w:r w:rsidR="00CE7395" w:rsidRPr="00CE7395">
              <w:rPr>
                <w:rFonts w:ascii="Cambria" w:hAnsi="Cambria"/>
                <w:b/>
              </w:rPr>
              <w:t>Logistique Durable</w:t>
            </w:r>
            <w:r w:rsidR="00CE7395">
              <w:rPr>
                <w:rFonts w:ascii="Cambria" w:hAnsi="Cambria"/>
                <w:b/>
              </w:rPr>
              <w:t>, transport et environnement</w:t>
            </w:r>
            <w:r w:rsidR="00CE7395" w:rsidRPr="00CE7395">
              <w:rPr>
                <w:rFonts w:ascii="Cambria" w:hAnsi="Cambria"/>
                <w:b/>
              </w:rPr>
              <w:t xml:space="preserve"> </w:t>
            </w:r>
          </w:p>
          <w:p w:rsidR="00CE7395" w:rsidRPr="00CE7395" w:rsidRDefault="00CE7395" w:rsidP="001809CB">
            <w:pPr>
              <w:pStyle w:val="Listenabsatz"/>
              <w:jc w:val="both"/>
              <w:rPr>
                <w:rFonts w:ascii="Cambria" w:eastAsia="Times New Roman" w:hAnsi="Cambria" w:cstheme="minorHAnsi"/>
                <w:bCs/>
                <w:lang w:eastAsia="de-DE"/>
              </w:rPr>
            </w:pPr>
            <w:r w:rsidRPr="00CE7395">
              <w:rPr>
                <w:rFonts w:ascii="Cambria" w:eastAsia="Times New Roman" w:hAnsi="Cambria" w:cstheme="minorHAnsi"/>
                <w:bCs/>
                <w:lang w:eastAsia="de-DE"/>
              </w:rPr>
              <w:t xml:space="preserve">L’objectif principal de cette </w:t>
            </w:r>
            <w:r w:rsidR="001E271B" w:rsidRPr="00CE7395">
              <w:rPr>
                <w:rFonts w:ascii="Cambria" w:eastAsia="Times New Roman" w:hAnsi="Cambria" w:cstheme="minorHAnsi"/>
                <w:bCs/>
                <w:lang w:eastAsia="de-DE"/>
              </w:rPr>
              <w:t>séquence</w:t>
            </w:r>
            <w:r w:rsidRPr="00CE7395">
              <w:rPr>
                <w:rFonts w:ascii="Cambria" w:eastAsia="Times New Roman" w:hAnsi="Cambria" w:cstheme="minorHAnsi"/>
                <w:bCs/>
                <w:lang w:eastAsia="de-DE"/>
              </w:rPr>
              <w:t>, à travers une courte introduction, est de présenter les différentes facettes d’une logistique durable pour introduire le theme du transport durable ainsi que le</w:t>
            </w:r>
            <w:r>
              <w:rPr>
                <w:rFonts w:ascii="Cambria" w:eastAsia="Times New Roman" w:hAnsi="Cambria" w:cstheme="minorHAnsi"/>
                <w:bCs/>
                <w:lang w:eastAsia="de-DE"/>
              </w:rPr>
              <w:t>s informations de base liées au développement durable du point de vue des transporteurs et d</w:t>
            </w:r>
            <w:r w:rsidRPr="00CE7395">
              <w:rPr>
                <w:rFonts w:ascii="Cambria" w:eastAsia="Times New Roman" w:hAnsi="Cambria" w:cstheme="minorHAnsi"/>
                <w:bCs/>
                <w:lang w:eastAsia="de-DE"/>
              </w:rPr>
              <w:t>u fret.</w:t>
            </w:r>
          </w:p>
          <w:p w:rsidR="008953D8" w:rsidRPr="00925978" w:rsidRDefault="008953D8" w:rsidP="001809CB">
            <w:pPr>
              <w:pStyle w:val="Listenabsatz"/>
              <w:jc w:val="both"/>
              <w:rPr>
                <w:rFonts w:ascii="Cambria" w:hAnsi="Cambria" w:cstheme="minorHAnsi"/>
                <w:color w:val="333333"/>
              </w:rPr>
            </w:pPr>
          </w:p>
          <w:p w:rsidR="008953D8" w:rsidRPr="002C55B4" w:rsidRDefault="00CE7395" w:rsidP="008953D8">
            <w:pPr>
              <w:pStyle w:val="Listenabsatz"/>
              <w:numPr>
                <w:ilvl w:val="0"/>
                <w:numId w:val="4"/>
              </w:numPr>
              <w:jc w:val="both"/>
              <w:rPr>
                <w:rFonts w:ascii="Cambria" w:eastAsia="Times New Roman" w:hAnsi="Cambria" w:cstheme="minorHAnsi"/>
                <w:b/>
                <w:bCs/>
                <w:lang w:val="en-GB" w:eastAsia="de-DE"/>
              </w:rPr>
            </w:pPr>
            <w:r>
              <w:rPr>
                <w:rFonts w:ascii="Cambria" w:hAnsi="Cambria"/>
                <w:b/>
                <w:lang w:val="en-US"/>
              </w:rPr>
              <w:t>La cooperation dans la logistique</w:t>
            </w:r>
          </w:p>
          <w:p w:rsidR="008953D8" w:rsidRPr="00925978" w:rsidRDefault="00CE7395" w:rsidP="00CE7395">
            <w:pPr>
              <w:pStyle w:val="Listenabsatz"/>
              <w:jc w:val="both"/>
              <w:rPr>
                <w:rFonts w:ascii="Cambria" w:hAnsi="Cambria"/>
                <w:highlight w:val="yellow"/>
              </w:rPr>
            </w:pPr>
            <w:r w:rsidRPr="00925978">
              <w:rPr>
                <w:rFonts w:ascii="Cambria" w:eastAsia="Times New Roman" w:hAnsi="Cambria" w:cstheme="minorHAnsi"/>
                <w:bCs/>
                <w:lang w:eastAsia="de-DE"/>
              </w:rPr>
              <w:t xml:space="preserve">Le principal objectif de cette </w:t>
            </w:r>
            <w:r w:rsidR="001E271B" w:rsidRPr="00925978">
              <w:rPr>
                <w:rFonts w:ascii="Cambria" w:eastAsia="Times New Roman" w:hAnsi="Cambria" w:cstheme="minorHAnsi"/>
                <w:bCs/>
                <w:lang w:eastAsia="de-DE"/>
              </w:rPr>
              <w:t>séquence</w:t>
            </w:r>
            <w:r w:rsidRPr="00925978">
              <w:rPr>
                <w:rFonts w:ascii="Cambria" w:eastAsia="Times New Roman" w:hAnsi="Cambria" w:cstheme="minorHAnsi"/>
                <w:bCs/>
                <w:lang w:eastAsia="de-DE"/>
              </w:rPr>
              <w:t xml:space="preserve"> est d’apprendre à connaître différents sites Internet et réseaux de </w:t>
            </w:r>
            <w:r w:rsidR="0057179D" w:rsidRPr="00925978">
              <w:rPr>
                <w:rFonts w:ascii="Cambria" w:eastAsia="Times New Roman" w:hAnsi="Cambria" w:cstheme="minorHAnsi"/>
                <w:bCs/>
                <w:lang w:eastAsia="de-DE"/>
              </w:rPr>
              <w:t>coopération</w:t>
            </w:r>
            <w:r w:rsidRPr="00925978">
              <w:rPr>
                <w:rFonts w:ascii="Cambria" w:eastAsia="Times New Roman" w:hAnsi="Cambria" w:cstheme="minorHAnsi"/>
                <w:bCs/>
                <w:lang w:eastAsia="de-DE"/>
              </w:rPr>
              <w:t xml:space="preserve"> pour la logistique afin de les comparer. </w:t>
            </w:r>
          </w:p>
        </w:tc>
      </w:tr>
      <w:tr w:rsidR="008953D8" w:rsidRPr="00CE7395" w:rsidTr="001809CB">
        <w:tc>
          <w:tcPr>
            <w:tcW w:w="9212" w:type="dxa"/>
            <w:shd w:val="clear" w:color="auto" w:fill="F2F2F2" w:themeFill="background1" w:themeFillShade="F2"/>
          </w:tcPr>
          <w:p w:rsidR="008953D8" w:rsidRPr="00E7537E" w:rsidRDefault="00CE7395" w:rsidP="001809CB">
            <w:pPr>
              <w:tabs>
                <w:tab w:val="left" w:pos="1185"/>
              </w:tabs>
              <w:spacing w:after="0"/>
              <w:rPr>
                <w:rFonts w:ascii="Cambria" w:hAnsi="Cambria"/>
                <w:lang w:val="en-US"/>
              </w:rPr>
            </w:pPr>
            <w:r>
              <w:rPr>
                <w:rFonts w:ascii="Cambria" w:hAnsi="Cambria"/>
                <w:lang w:val="en-US"/>
              </w:rPr>
              <w:t>Mots clé</w:t>
            </w:r>
          </w:p>
        </w:tc>
      </w:tr>
      <w:tr w:rsidR="008953D8" w:rsidRPr="00CE7395" w:rsidTr="001809CB">
        <w:tc>
          <w:tcPr>
            <w:tcW w:w="9212" w:type="dxa"/>
          </w:tcPr>
          <w:p w:rsidR="008953D8" w:rsidRPr="00CE7395" w:rsidRDefault="00921FCC" w:rsidP="00BC65FA">
            <w:pPr>
              <w:rPr>
                <w:rFonts w:ascii="Cambria" w:hAnsi="Cambria"/>
              </w:rPr>
            </w:pPr>
            <w:r>
              <w:rPr>
                <w:rFonts w:ascii="Cambria" w:hAnsi="Cambria" w:cstheme="minorHAnsi"/>
              </w:rPr>
              <w:t>Soutenabilité</w:t>
            </w:r>
            <w:r w:rsidR="00CE7395" w:rsidRPr="00CE7395">
              <w:rPr>
                <w:rFonts w:ascii="Cambria" w:hAnsi="Cambria" w:cstheme="minorHAnsi"/>
              </w:rPr>
              <w:t>, Educa</w:t>
            </w:r>
            <w:r w:rsidR="00A45315">
              <w:rPr>
                <w:rFonts w:ascii="Cambria" w:hAnsi="Cambria" w:cstheme="minorHAnsi"/>
              </w:rPr>
              <w:t>tion au Développement Durable, développement d</w:t>
            </w:r>
            <w:r w:rsidR="00CE7395" w:rsidRPr="00CE7395">
              <w:rPr>
                <w:rFonts w:ascii="Cambria" w:hAnsi="Cambria" w:cstheme="minorHAnsi"/>
              </w:rPr>
              <w:t>urable, pratiques durables, logistique durable, environnement, transporteurs soutenables, fret soutenable,</w:t>
            </w:r>
            <w:r w:rsidR="00CE7395">
              <w:rPr>
                <w:rFonts w:ascii="Cambria" w:hAnsi="Cambria" w:cstheme="minorHAnsi"/>
              </w:rPr>
              <w:t xml:space="preserve"> co</w:t>
            </w:r>
            <w:r w:rsidR="00BC65FA">
              <w:rPr>
                <w:rFonts w:ascii="Cambria" w:hAnsi="Cambria" w:cstheme="minorHAnsi"/>
              </w:rPr>
              <w:t>opération, logistique, réseaux.</w:t>
            </w:r>
          </w:p>
        </w:tc>
      </w:tr>
      <w:tr w:rsidR="008953D8" w:rsidRPr="00DD14BF" w:rsidTr="001809CB">
        <w:tc>
          <w:tcPr>
            <w:tcW w:w="9212" w:type="dxa"/>
            <w:shd w:val="clear" w:color="auto" w:fill="F2F2F2" w:themeFill="background1" w:themeFillShade="F2"/>
          </w:tcPr>
          <w:p w:rsidR="008953D8" w:rsidRPr="00DD14BF" w:rsidRDefault="00DD14BF" w:rsidP="00DD14BF">
            <w:pPr>
              <w:tabs>
                <w:tab w:val="left" w:pos="1185"/>
              </w:tabs>
              <w:spacing w:after="0"/>
              <w:rPr>
                <w:rFonts w:ascii="Cambria" w:hAnsi="Cambria"/>
              </w:rPr>
            </w:pPr>
            <w:r>
              <w:rPr>
                <w:rFonts w:ascii="Cambria" w:hAnsi="Cambria"/>
              </w:rPr>
              <w:t>L’Education au Développement Durable</w:t>
            </w:r>
            <w:r w:rsidR="00236AA2">
              <w:rPr>
                <w:rFonts w:ascii="Cambria" w:hAnsi="Cambria"/>
              </w:rPr>
              <w:t xml:space="preserve"> (EDD)</w:t>
            </w:r>
            <w:r>
              <w:rPr>
                <w:rFonts w:ascii="Cambria" w:hAnsi="Cambria"/>
              </w:rPr>
              <w:t xml:space="preserve"> et </w:t>
            </w:r>
            <w:r w:rsidR="008953D8" w:rsidRPr="00DD14BF">
              <w:rPr>
                <w:rFonts w:ascii="Cambria" w:hAnsi="Cambria"/>
                <w:b/>
              </w:rPr>
              <w:t xml:space="preserve">GreenSkills4VET </w:t>
            </w:r>
          </w:p>
        </w:tc>
      </w:tr>
      <w:tr w:rsidR="008953D8" w:rsidRPr="00567F03" w:rsidTr="001809CB">
        <w:tc>
          <w:tcPr>
            <w:tcW w:w="9212" w:type="dxa"/>
          </w:tcPr>
          <w:p w:rsidR="00DD14BF" w:rsidRPr="00925978" w:rsidRDefault="00DD14BF" w:rsidP="001809CB">
            <w:pPr>
              <w:spacing w:after="0" w:line="240" w:lineRule="auto"/>
              <w:jc w:val="both"/>
              <w:rPr>
                <w:rFonts w:ascii="Cambria" w:hAnsi="Cambria" w:cs="Arial"/>
              </w:rPr>
            </w:pPr>
          </w:p>
          <w:p w:rsidR="001C0FFB" w:rsidRPr="005F6330" w:rsidRDefault="00DD14BF" w:rsidP="001809CB">
            <w:pPr>
              <w:spacing w:after="0" w:line="240" w:lineRule="auto"/>
              <w:jc w:val="both"/>
              <w:rPr>
                <w:rFonts w:ascii="Cambria" w:hAnsi="Cambria" w:cs="Arial"/>
              </w:rPr>
            </w:pPr>
            <w:r w:rsidRPr="00DD14BF">
              <w:rPr>
                <w:rFonts w:ascii="Cambria" w:hAnsi="Cambria" w:cs="Arial"/>
              </w:rPr>
              <w:t>Ce module d’apprentissage couvre une parti</w:t>
            </w:r>
            <w:bookmarkStart w:id="0" w:name="_GoBack"/>
            <w:bookmarkEnd w:id="0"/>
            <w:r w:rsidRPr="00DD14BF">
              <w:rPr>
                <w:rFonts w:ascii="Cambria" w:hAnsi="Cambria" w:cs="Arial"/>
              </w:rPr>
              <w:t>e du programme de formation, ce qui constitue l’un des objectifs liés à l’</w:t>
            </w:r>
            <w:r>
              <w:rPr>
                <w:rFonts w:ascii="Cambria" w:hAnsi="Cambria" w:cs="Arial"/>
              </w:rPr>
              <w:t xml:space="preserve">EDD, </w:t>
            </w:r>
            <w:r w:rsidR="0003259A">
              <w:rPr>
                <w:rFonts w:ascii="Cambria" w:hAnsi="Cambria" w:cs="Arial"/>
              </w:rPr>
              <w:t>en concordance avec le cadre européen des</w:t>
            </w:r>
            <w:r>
              <w:rPr>
                <w:rFonts w:ascii="Cambria" w:hAnsi="Cambria" w:cs="Arial"/>
              </w:rPr>
              <w:t xml:space="preserve"> certifications (EQF) et le </w:t>
            </w:r>
            <w:r w:rsidR="00914C48">
              <w:rPr>
                <w:rFonts w:ascii="Cambria" w:hAnsi="Cambria" w:cs="Arial"/>
              </w:rPr>
              <w:t>système européen de crédit d’apprentissages</w:t>
            </w:r>
            <w:r>
              <w:rPr>
                <w:rFonts w:ascii="Cambria" w:hAnsi="Cambria" w:cs="Arial"/>
              </w:rPr>
              <w:t xml:space="preserve"> </w:t>
            </w:r>
            <w:r w:rsidR="00914C48">
              <w:rPr>
                <w:rFonts w:ascii="Cambria" w:hAnsi="Cambria" w:cs="Arial"/>
              </w:rPr>
              <w:t>(</w:t>
            </w:r>
            <w:r>
              <w:rPr>
                <w:rFonts w:ascii="Cambria" w:hAnsi="Cambria" w:cs="Arial"/>
              </w:rPr>
              <w:t>ECVET</w:t>
            </w:r>
            <w:r w:rsidR="00914C48">
              <w:rPr>
                <w:rFonts w:ascii="Cambria" w:hAnsi="Cambria" w:cs="Arial"/>
              </w:rPr>
              <w:t>)</w:t>
            </w:r>
            <w:r>
              <w:rPr>
                <w:rFonts w:ascii="Cambria" w:hAnsi="Cambria" w:cs="Arial"/>
              </w:rPr>
              <w:t xml:space="preserve">. </w:t>
            </w:r>
            <w:r w:rsidR="005F6330">
              <w:rPr>
                <w:rFonts w:ascii="Cambria" w:hAnsi="Cambria" w:cs="Arial"/>
              </w:rPr>
              <w:t>I</w:t>
            </w:r>
            <w:r w:rsidR="001C0FFB" w:rsidRPr="005F6330">
              <w:rPr>
                <w:rFonts w:ascii="Cambria" w:hAnsi="Cambria" w:cs="Arial"/>
              </w:rPr>
              <w:t xml:space="preserve">l s’intègre </w:t>
            </w:r>
            <w:r w:rsidR="0003259A" w:rsidRPr="005F6330">
              <w:rPr>
                <w:rFonts w:ascii="Cambria" w:hAnsi="Cambria" w:cs="Arial"/>
              </w:rPr>
              <w:t xml:space="preserve">à </w:t>
            </w:r>
            <w:r w:rsidR="001C0FFB" w:rsidRPr="005F6330">
              <w:rPr>
                <w:rFonts w:ascii="Cambria" w:hAnsi="Cambria" w:cs="Arial"/>
              </w:rPr>
              <w:t>un module développé dans le cadre de la formation professionnelle</w:t>
            </w:r>
            <w:r w:rsidR="00AF5F2D" w:rsidRPr="005F6330">
              <w:rPr>
                <w:rFonts w:ascii="Cambria" w:hAnsi="Cambria" w:cs="Arial"/>
              </w:rPr>
              <w:t xml:space="preserve"> de</w:t>
            </w:r>
            <w:r w:rsidR="001C0FFB" w:rsidRPr="005F6330">
              <w:rPr>
                <w:rFonts w:ascii="Cambria" w:hAnsi="Cambria" w:cs="Arial"/>
              </w:rPr>
              <w:t xml:space="preserve"> “Technicien supérieur en services de transport et logistique”</w:t>
            </w:r>
            <w:r w:rsidR="00AF5F2D" w:rsidRPr="005F6330">
              <w:rPr>
                <w:rFonts w:ascii="Cambria" w:hAnsi="Cambria" w:cs="Arial"/>
              </w:rPr>
              <w:t xml:space="preserve"> selon les normes en matière d’apprentissage – une </w:t>
            </w:r>
            <w:r w:rsidR="006F5D7A" w:rsidRPr="005F6330">
              <w:rPr>
                <w:rFonts w:ascii="Cambria" w:hAnsi="Cambria" w:cs="Arial"/>
              </w:rPr>
              <w:t>qualification par ailleurs élaborée</w:t>
            </w:r>
            <w:r w:rsidR="00AF5F2D" w:rsidRPr="005F6330">
              <w:rPr>
                <w:rFonts w:ascii="Cambria" w:hAnsi="Cambria" w:cs="Arial"/>
              </w:rPr>
              <w:t xml:space="preserve"> au niveau européen lors du projet européen </w:t>
            </w:r>
            <w:r w:rsidR="006F5D7A" w:rsidRPr="005F6330">
              <w:rPr>
                <w:rFonts w:ascii="Cambria" w:hAnsi="Cambria" w:cs="Arial"/>
              </w:rPr>
              <w:t xml:space="preserve">« Euro Trans Log » </w:t>
            </w:r>
            <w:r w:rsidR="00AF5F2D" w:rsidRPr="005F6330">
              <w:rPr>
                <w:rFonts w:ascii="Cambria" w:hAnsi="Cambria" w:cs="Arial"/>
              </w:rPr>
              <w:t xml:space="preserve">Leonard De Vinci. </w:t>
            </w:r>
          </w:p>
          <w:p w:rsidR="0003259A" w:rsidRPr="005F6330" w:rsidRDefault="0003259A" w:rsidP="00B72883">
            <w:pPr>
              <w:spacing w:after="0" w:line="240" w:lineRule="auto"/>
              <w:jc w:val="both"/>
              <w:rPr>
                <w:rFonts w:ascii="Cambria" w:hAnsi="Cambria" w:cs="Arial"/>
                <w:color w:val="00B050"/>
              </w:rPr>
            </w:pPr>
          </w:p>
          <w:p w:rsidR="008953D8" w:rsidRPr="00567F03" w:rsidRDefault="006F5D7A" w:rsidP="00567F03">
            <w:pPr>
              <w:tabs>
                <w:tab w:val="left" w:pos="2415"/>
              </w:tabs>
              <w:jc w:val="both"/>
              <w:rPr>
                <w:rFonts w:ascii="Cambria" w:hAnsi="Cambria" w:cs="Arial"/>
              </w:rPr>
            </w:pPr>
            <w:r w:rsidRPr="006F5D7A">
              <w:rPr>
                <w:rFonts w:ascii="Cambria" w:hAnsi="Cambria" w:cs="Arial"/>
              </w:rPr>
              <w:t xml:space="preserve">Au sein du module “faisabilité des </w:t>
            </w:r>
            <w:r w:rsidR="005F0EB0" w:rsidRPr="006F5D7A">
              <w:rPr>
                <w:rFonts w:ascii="Cambria" w:hAnsi="Cambria" w:cs="Arial"/>
              </w:rPr>
              <w:t>opérations</w:t>
            </w:r>
            <w:r w:rsidRPr="006F5D7A">
              <w:rPr>
                <w:rFonts w:ascii="Cambria" w:hAnsi="Cambria" w:cs="Arial"/>
              </w:rPr>
              <w:t xml:space="preserve"> de transport et des services logistiques”, il nous a paru important</w:t>
            </w:r>
            <w:r w:rsidR="00921FCC">
              <w:rPr>
                <w:rFonts w:ascii="Cambria" w:hAnsi="Cambria" w:cs="Arial"/>
              </w:rPr>
              <w:t xml:space="preserve"> de travailler à </w:t>
            </w:r>
            <w:r w:rsidR="005E153B">
              <w:rPr>
                <w:rFonts w:ascii="Cambria" w:hAnsi="Cambria" w:cs="Arial"/>
              </w:rPr>
              <w:t xml:space="preserve">améliorer </w:t>
            </w:r>
            <w:r w:rsidRPr="006F5D7A">
              <w:rPr>
                <w:rFonts w:ascii="Cambria" w:hAnsi="Cambria" w:cs="Arial"/>
              </w:rPr>
              <w:t xml:space="preserve">les compétences des apprenants en matière de logistique inverse. </w:t>
            </w:r>
            <w:r>
              <w:rPr>
                <w:rFonts w:ascii="Cambria" w:hAnsi="Cambria" w:cs="Arial"/>
              </w:rPr>
              <w:t>La logistique inverse est un phénomène à la fois nouveau et majeur permettant de favoriser l’économie circulaire, une priorité Européenne pour</w:t>
            </w:r>
            <w:r w:rsidR="00E61577">
              <w:rPr>
                <w:rFonts w:ascii="Cambria" w:hAnsi="Cambria" w:cs="Arial"/>
              </w:rPr>
              <w:t xml:space="preserve"> promouvoir</w:t>
            </w:r>
            <w:r>
              <w:rPr>
                <w:rFonts w:ascii="Cambria" w:hAnsi="Cambria" w:cs="Arial"/>
              </w:rPr>
              <w:t xml:space="preserve"> une économie durable. </w:t>
            </w:r>
            <w:r w:rsidR="005F0EB0">
              <w:rPr>
                <w:rFonts w:ascii="Cambria" w:hAnsi="Cambria" w:cs="Arial"/>
              </w:rPr>
              <w:t>Ainsi, évaluer la faisabilité d’une logistique inverse durable en matière de gestion des transports correspond à différentes compétences liées à l’EDD telles que : « identifier des facteurs susceptibles d’influencer/de compromettre l’optimisation du temps et des ressources tout au long de la chaîne logistique », « Apprendre à analyser le cycle de vie d’un produit », « réfléchir à l’importance croissante des compétences multifactorielles liées aux prises de décision des affréteurs »</w:t>
            </w:r>
            <w:r w:rsidR="00064466">
              <w:rPr>
                <w:rFonts w:ascii="Cambria" w:hAnsi="Cambria" w:cs="Arial"/>
              </w:rPr>
              <w:t>, « </w:t>
            </w:r>
            <w:r w:rsidR="001E271B">
              <w:rPr>
                <w:rFonts w:ascii="Cambria" w:hAnsi="Cambria" w:cs="Arial"/>
              </w:rPr>
              <w:t>Identifier</w:t>
            </w:r>
            <w:r w:rsidR="00064466">
              <w:rPr>
                <w:rFonts w:ascii="Cambria" w:hAnsi="Cambria" w:cs="Arial"/>
              </w:rPr>
              <w:t xml:space="preserve"> les</w:t>
            </w:r>
            <w:r w:rsidR="001E271B">
              <w:rPr>
                <w:rFonts w:ascii="Cambria" w:hAnsi="Cambria" w:cs="Arial"/>
              </w:rPr>
              <w:t xml:space="preserve"> différentes</w:t>
            </w:r>
            <w:r w:rsidR="00064466">
              <w:rPr>
                <w:rFonts w:ascii="Cambria" w:hAnsi="Cambria" w:cs="Arial"/>
              </w:rPr>
              <w:t xml:space="preserve"> possibilités d’approvisionnement local</w:t>
            </w:r>
            <w:r w:rsidR="001E271B">
              <w:rPr>
                <w:rFonts w:ascii="Cambria" w:hAnsi="Cambria" w:cs="Arial"/>
              </w:rPr>
              <w:t xml:space="preserve"> et le traitement des déchets », « Identifier les différentes solutions techniques de protection de l’environnement », « Créer, modifier et influencer les flux de marchandises locaux », « Eviter les effets négatifs </w:t>
            </w:r>
            <w:r w:rsidR="00567F03">
              <w:rPr>
                <w:rFonts w:ascii="Cambria" w:hAnsi="Cambria" w:cs="Arial"/>
              </w:rPr>
              <w:t xml:space="preserve">liés aux matières premières, à la consommation d’énergie et au traitement des déchets/recyclage ». </w:t>
            </w:r>
          </w:p>
        </w:tc>
      </w:tr>
    </w:tbl>
    <w:p w:rsidR="008953D8" w:rsidRPr="00567F03" w:rsidRDefault="008953D8" w:rsidP="008953D8">
      <w:pPr>
        <w:rPr>
          <w:rFonts w:ascii="Cambria" w:hAnsi="Cambria"/>
          <w:b/>
          <w:lang w:eastAsia="de-AT"/>
        </w:rPr>
      </w:pPr>
    </w:p>
    <w:p w:rsidR="008953D8" w:rsidRPr="00200AB0" w:rsidRDefault="00567F03" w:rsidP="008953D8">
      <w:pPr>
        <w:tabs>
          <w:tab w:val="left" w:pos="3825"/>
        </w:tabs>
        <w:rPr>
          <w:rFonts w:ascii="Cambria" w:hAnsi="Cambria"/>
          <w:b/>
          <w:sz w:val="28"/>
          <w:szCs w:val="28"/>
          <w:lang w:eastAsia="de-AT"/>
        </w:rPr>
      </w:pPr>
      <w:r>
        <w:rPr>
          <w:rFonts w:ascii="Cambria" w:hAnsi="Cambria"/>
          <w:b/>
          <w:sz w:val="28"/>
          <w:szCs w:val="28"/>
          <w:lang w:eastAsia="de-AT"/>
        </w:rPr>
        <w:t>Conditions pédagogiques préalables et résultats attendus</w:t>
      </w:r>
    </w:p>
    <w:tbl>
      <w:tblPr>
        <w:tblStyle w:val="Tabellenraster"/>
        <w:tblW w:w="0" w:type="auto"/>
        <w:tblInd w:w="-289" w:type="dxa"/>
        <w:tblLook w:val="04A0" w:firstRow="1" w:lastRow="0" w:firstColumn="1" w:lastColumn="0" w:noHBand="0" w:noVBand="1"/>
      </w:tblPr>
      <w:tblGrid>
        <w:gridCol w:w="1788"/>
        <w:gridCol w:w="7789"/>
      </w:tblGrid>
      <w:tr w:rsidR="008953D8" w:rsidRPr="00567F03" w:rsidTr="001809CB">
        <w:trPr>
          <w:trHeight w:val="392"/>
        </w:trPr>
        <w:tc>
          <w:tcPr>
            <w:tcW w:w="9884" w:type="dxa"/>
            <w:gridSpan w:val="2"/>
            <w:shd w:val="clear" w:color="auto" w:fill="F2F2F2" w:themeFill="background1" w:themeFillShade="F2"/>
          </w:tcPr>
          <w:p w:rsidR="008953D8" w:rsidRPr="00567F03" w:rsidRDefault="00567F03" w:rsidP="001809CB">
            <w:pPr>
              <w:tabs>
                <w:tab w:val="left" w:pos="1185"/>
              </w:tabs>
              <w:spacing w:after="0"/>
              <w:rPr>
                <w:rFonts w:ascii="Cambria" w:hAnsi="Cambria"/>
              </w:rPr>
            </w:pPr>
            <w:r w:rsidRPr="00567F03">
              <w:rPr>
                <w:rFonts w:ascii="Cambria" w:hAnsi="Cambria"/>
              </w:rPr>
              <w:t>S’agit-il d’un nouveau champ d’apprentissage ou d’u</w:t>
            </w:r>
            <w:r>
              <w:rPr>
                <w:rFonts w:ascii="Cambria" w:hAnsi="Cambria"/>
              </w:rPr>
              <w:t>n ajout à un champ préexistant ?</w:t>
            </w:r>
          </w:p>
        </w:tc>
      </w:tr>
      <w:tr w:rsidR="008953D8" w:rsidRPr="00B72883" w:rsidTr="001809CB">
        <w:trPr>
          <w:trHeight w:val="392"/>
        </w:trPr>
        <w:tc>
          <w:tcPr>
            <w:tcW w:w="9884" w:type="dxa"/>
            <w:gridSpan w:val="2"/>
          </w:tcPr>
          <w:p w:rsidR="008953D8" w:rsidRPr="00B72883" w:rsidRDefault="00567F03" w:rsidP="001809CB">
            <w:pPr>
              <w:rPr>
                <w:rFonts w:ascii="Cambria" w:hAnsi="Cambria"/>
              </w:rPr>
            </w:pPr>
            <w:r w:rsidRPr="00567F03">
              <w:rPr>
                <w:rFonts w:ascii="Cambria" w:hAnsi="Cambria"/>
              </w:rPr>
              <w:t xml:space="preserve">La logistique durable est un nouveau champ d’études au sein de l’apprentissage professionnel visant la logistique. </w:t>
            </w:r>
            <w:r>
              <w:rPr>
                <w:rFonts w:ascii="Cambria" w:hAnsi="Cambria"/>
              </w:rPr>
              <w:t xml:space="preserve">Dans le programme actuel de formation professionnelle aux métiers de la logistique, la dimension durable, en Autriche, n’est pas clairement identifiée comme un sujet à part entière. Néanmoins, les formateurs du secteur de la logistique insistent sur l’importance d’une approche durable dans la logistique même si leur trajectoire joue là encore un rôle important dans la prise en compte de cette dimension dans leurs cours. La REL sur la logistique durable vient donc compléter </w:t>
            </w:r>
            <w:r w:rsidR="00B72883">
              <w:rPr>
                <w:rFonts w:ascii="Cambria" w:hAnsi="Cambria"/>
              </w:rPr>
              <w:t xml:space="preserve">le champ d’apprentissage lié à la logistique.  </w:t>
            </w:r>
          </w:p>
        </w:tc>
      </w:tr>
      <w:tr w:rsidR="008953D8" w:rsidRPr="00925978" w:rsidTr="001809CB">
        <w:trPr>
          <w:trHeight w:val="392"/>
        </w:trPr>
        <w:tc>
          <w:tcPr>
            <w:tcW w:w="9884" w:type="dxa"/>
            <w:gridSpan w:val="2"/>
            <w:shd w:val="clear" w:color="auto" w:fill="F2F2F2" w:themeFill="background1" w:themeFillShade="F2"/>
          </w:tcPr>
          <w:p w:rsidR="008953D8" w:rsidRPr="0057179D" w:rsidRDefault="00CA40DC" w:rsidP="001809CB">
            <w:pPr>
              <w:tabs>
                <w:tab w:val="left" w:pos="1185"/>
              </w:tabs>
              <w:spacing w:after="0"/>
              <w:rPr>
                <w:rFonts w:ascii="Cambria" w:hAnsi="Cambria"/>
              </w:rPr>
            </w:pPr>
            <w:r w:rsidRPr="0057179D">
              <w:rPr>
                <w:rFonts w:ascii="Cambria" w:hAnsi="Cambria"/>
              </w:rPr>
              <w:t>Apprenants ciblés</w:t>
            </w:r>
          </w:p>
        </w:tc>
      </w:tr>
      <w:tr w:rsidR="008953D8" w:rsidRPr="00CA40DC" w:rsidTr="001809CB">
        <w:trPr>
          <w:trHeight w:val="592"/>
        </w:trPr>
        <w:tc>
          <w:tcPr>
            <w:tcW w:w="9884" w:type="dxa"/>
            <w:gridSpan w:val="2"/>
          </w:tcPr>
          <w:p w:rsidR="008953D8" w:rsidRPr="00CA40DC" w:rsidRDefault="00CA40DC" w:rsidP="00CA40DC">
            <w:pPr>
              <w:tabs>
                <w:tab w:val="left" w:pos="1185"/>
              </w:tabs>
              <w:spacing w:after="0"/>
              <w:rPr>
                <w:rFonts w:ascii="Cambria" w:hAnsi="Cambria"/>
              </w:rPr>
            </w:pPr>
            <w:r w:rsidRPr="00CA40DC">
              <w:rPr>
                <w:rFonts w:ascii="Cambria" w:hAnsi="Cambria"/>
              </w:rPr>
              <w:t xml:space="preserve">Etudiants ayant une </w:t>
            </w:r>
            <w:r w:rsidR="0003259A" w:rsidRPr="00CA40DC">
              <w:rPr>
                <w:rFonts w:ascii="Cambria" w:hAnsi="Cambria"/>
              </w:rPr>
              <w:t>expérience</w:t>
            </w:r>
            <w:r w:rsidRPr="00CA40DC">
              <w:rPr>
                <w:rFonts w:ascii="Cambria" w:hAnsi="Cambria"/>
              </w:rPr>
              <w:t xml:space="preserve"> pratique du champ de la logistique dans la formation professionnelle</w:t>
            </w:r>
            <w:r w:rsidR="008953D8" w:rsidRPr="00CA40DC">
              <w:rPr>
                <w:rFonts w:ascii="Cambria" w:hAnsi="Cambria"/>
              </w:rPr>
              <w:t>.</w:t>
            </w:r>
          </w:p>
        </w:tc>
      </w:tr>
      <w:tr w:rsidR="008953D8" w:rsidRPr="00CA40DC" w:rsidTr="001809CB">
        <w:trPr>
          <w:trHeight w:val="297"/>
        </w:trPr>
        <w:tc>
          <w:tcPr>
            <w:tcW w:w="9884" w:type="dxa"/>
            <w:gridSpan w:val="2"/>
            <w:shd w:val="clear" w:color="auto" w:fill="F2F2F2" w:themeFill="background1" w:themeFillShade="F2"/>
          </w:tcPr>
          <w:p w:rsidR="008953D8" w:rsidRPr="00E7537E" w:rsidRDefault="00CA40DC" w:rsidP="001809CB">
            <w:pPr>
              <w:tabs>
                <w:tab w:val="left" w:pos="1185"/>
              </w:tabs>
              <w:spacing w:after="0"/>
              <w:rPr>
                <w:rFonts w:ascii="Cambria" w:hAnsi="Cambria"/>
                <w:lang w:val="de-DE"/>
              </w:rPr>
            </w:pPr>
            <w:r w:rsidRPr="00CA40DC">
              <w:rPr>
                <w:rFonts w:ascii="Cambria" w:hAnsi="Cambria"/>
              </w:rPr>
              <w:t>Est-ce qu’un savoir préalable sur le sujet est requis ?</w:t>
            </w:r>
            <w:r>
              <w:rPr>
                <w:rFonts w:ascii="Cambria" w:hAnsi="Cambria"/>
              </w:rPr>
              <w:t xml:space="preserve"> </w:t>
            </w:r>
            <w:r w:rsidR="008953D8" w:rsidRPr="00E7537E">
              <w:rPr>
                <w:rFonts w:ascii="Cambria" w:hAnsi="Cambria"/>
                <w:lang w:val="de-DE"/>
              </w:rPr>
              <w:t xml:space="preserve"> </w:t>
            </w:r>
          </w:p>
        </w:tc>
      </w:tr>
      <w:tr w:rsidR="008953D8" w:rsidRPr="00925978" w:rsidTr="001809CB">
        <w:trPr>
          <w:trHeight w:val="574"/>
        </w:trPr>
        <w:tc>
          <w:tcPr>
            <w:tcW w:w="9884" w:type="dxa"/>
            <w:gridSpan w:val="2"/>
          </w:tcPr>
          <w:p w:rsidR="00CA40DC" w:rsidRDefault="00CA40DC" w:rsidP="00B6749A">
            <w:pPr>
              <w:tabs>
                <w:tab w:val="left" w:pos="1185"/>
              </w:tabs>
              <w:spacing w:after="0"/>
              <w:jc w:val="both"/>
              <w:rPr>
                <w:rFonts w:ascii="Cambria" w:hAnsi="Cambria"/>
              </w:rPr>
            </w:pPr>
            <w:r w:rsidRPr="00CA40DC">
              <w:rPr>
                <w:rFonts w:ascii="Cambria" w:hAnsi="Cambria"/>
              </w:rPr>
              <w:lastRenderedPageBreak/>
              <w:t xml:space="preserve">Des connaissances préalables sur la logistique, la logistique durable et la soutenabilité peuvent </w:t>
            </w:r>
            <w:r>
              <w:rPr>
                <w:rFonts w:ascii="Cambria" w:hAnsi="Cambria"/>
              </w:rPr>
              <w:t xml:space="preserve">être utiles mais ne sont pas nécessaires. Le module est structuré de sorte que les tâches liées à l’apprentissage (contenu du cours et des exercices) sont d’une difficulté progressive, réalisable et utile à ceux qui ont des connaissances préalables comme à ceux qui n’en ont pas. Toutes les connaissances préalables seront mobilisables pour bâtir le savoir commun du groupe. </w:t>
            </w:r>
          </w:p>
          <w:p w:rsidR="00CA40DC" w:rsidRPr="00CA40DC" w:rsidRDefault="00CA40DC" w:rsidP="00B6749A">
            <w:pPr>
              <w:tabs>
                <w:tab w:val="left" w:pos="1185"/>
              </w:tabs>
              <w:spacing w:after="0"/>
              <w:jc w:val="both"/>
              <w:rPr>
                <w:rFonts w:ascii="Cambria" w:hAnsi="Cambria"/>
              </w:rPr>
            </w:pPr>
            <w:r>
              <w:rPr>
                <w:rFonts w:ascii="Cambria" w:hAnsi="Cambria"/>
              </w:rPr>
              <w:t xml:space="preserve">Compétences requises : réflexivité, travail individuel, travail en groupe, compétences en matière de présentation. </w:t>
            </w:r>
          </w:p>
          <w:p w:rsidR="008953D8" w:rsidRPr="0003259A" w:rsidRDefault="008953D8" w:rsidP="001809CB">
            <w:pPr>
              <w:tabs>
                <w:tab w:val="left" w:pos="1185"/>
              </w:tabs>
              <w:spacing w:after="0"/>
              <w:rPr>
                <w:rFonts w:ascii="Cambria" w:hAnsi="Cambria"/>
              </w:rPr>
            </w:pPr>
          </w:p>
        </w:tc>
      </w:tr>
      <w:tr w:rsidR="008953D8" w:rsidRPr="0003259A" w:rsidTr="001809CB">
        <w:trPr>
          <w:trHeight w:val="255"/>
        </w:trPr>
        <w:tc>
          <w:tcPr>
            <w:tcW w:w="9884" w:type="dxa"/>
            <w:gridSpan w:val="2"/>
            <w:shd w:val="clear" w:color="auto" w:fill="F2F2F2" w:themeFill="background1" w:themeFillShade="F2"/>
          </w:tcPr>
          <w:p w:rsidR="008953D8" w:rsidRPr="0003259A" w:rsidRDefault="0003259A" w:rsidP="001809CB">
            <w:pPr>
              <w:tabs>
                <w:tab w:val="left" w:pos="1995"/>
                <w:tab w:val="left" w:pos="2325"/>
              </w:tabs>
              <w:spacing w:after="0"/>
              <w:rPr>
                <w:rFonts w:ascii="Cambria" w:hAnsi="Cambria"/>
              </w:rPr>
            </w:pPr>
            <w:r w:rsidRPr="0003259A">
              <w:rPr>
                <w:rFonts w:ascii="Cambria" w:hAnsi="Cambria"/>
              </w:rPr>
              <w:t xml:space="preserve">Résultats attendus </w:t>
            </w:r>
            <w:r w:rsidR="00E54FDD" w:rsidRPr="0003259A">
              <w:rPr>
                <w:rFonts w:ascii="Cambria" w:hAnsi="Cambria"/>
              </w:rPr>
              <w:t>en termes</w:t>
            </w:r>
            <w:r w:rsidRPr="0003259A">
              <w:rPr>
                <w:rFonts w:ascii="Cambria" w:hAnsi="Cambria"/>
              </w:rPr>
              <w:t xml:space="preserve"> d’apprentissage (objectifs pédagogiques) </w:t>
            </w:r>
          </w:p>
        </w:tc>
      </w:tr>
      <w:tr w:rsidR="008953D8" w:rsidRPr="00E54FDD" w:rsidTr="001809CB">
        <w:trPr>
          <w:trHeight w:val="574"/>
        </w:trPr>
        <w:tc>
          <w:tcPr>
            <w:tcW w:w="9884" w:type="dxa"/>
            <w:gridSpan w:val="2"/>
          </w:tcPr>
          <w:p w:rsidR="0003259A" w:rsidRDefault="0003259A" w:rsidP="001809CB">
            <w:pPr>
              <w:jc w:val="both"/>
              <w:rPr>
                <w:rFonts w:ascii="Cambria" w:hAnsi="Cambria"/>
              </w:rPr>
            </w:pPr>
            <w:r>
              <w:rPr>
                <w:rFonts w:ascii="Cambria" w:hAnsi="Cambria"/>
              </w:rPr>
              <w:t>Acquérir un savoir général sur la soutenabilité et le développement durable (les 3 piliers du développement durable)</w:t>
            </w:r>
          </w:p>
          <w:p w:rsidR="0003259A" w:rsidRDefault="0003259A" w:rsidP="001809CB">
            <w:pPr>
              <w:jc w:val="both"/>
              <w:rPr>
                <w:rFonts w:ascii="Cambria" w:hAnsi="Cambria"/>
              </w:rPr>
            </w:pPr>
            <w:r>
              <w:rPr>
                <w:rFonts w:ascii="Cambria" w:hAnsi="Cambria"/>
              </w:rPr>
              <w:t xml:space="preserve">Identifier </w:t>
            </w:r>
            <w:r w:rsidR="00E54FDD">
              <w:rPr>
                <w:rFonts w:ascii="Cambria" w:hAnsi="Cambria"/>
              </w:rPr>
              <w:t xml:space="preserve">les </w:t>
            </w:r>
            <w:r>
              <w:rPr>
                <w:rFonts w:ascii="Cambria" w:hAnsi="Cambria"/>
              </w:rPr>
              <w:t>périmè</w:t>
            </w:r>
            <w:r w:rsidR="00E54FDD">
              <w:rPr>
                <w:rFonts w:ascii="Cambria" w:hAnsi="Cambria"/>
              </w:rPr>
              <w:t>tres d’action locaux et globaux</w:t>
            </w:r>
            <w:r>
              <w:rPr>
                <w:rFonts w:ascii="Cambria" w:hAnsi="Cambria"/>
              </w:rPr>
              <w:t xml:space="preserve"> </w:t>
            </w:r>
            <w:r w:rsidR="00E54FDD">
              <w:rPr>
                <w:rFonts w:ascii="Cambria" w:hAnsi="Cambria"/>
              </w:rPr>
              <w:t xml:space="preserve">pertinents </w:t>
            </w:r>
            <w:r>
              <w:rPr>
                <w:rFonts w:ascii="Cambria" w:hAnsi="Cambria"/>
              </w:rPr>
              <w:t xml:space="preserve">pour </w:t>
            </w:r>
            <w:r w:rsidR="00E54FDD">
              <w:rPr>
                <w:rFonts w:ascii="Cambria" w:hAnsi="Cambria"/>
              </w:rPr>
              <w:t xml:space="preserve">promouvoir </w:t>
            </w:r>
            <w:r>
              <w:rPr>
                <w:rFonts w:ascii="Cambria" w:hAnsi="Cambria"/>
              </w:rPr>
              <w:t>le développement durable.</w:t>
            </w:r>
          </w:p>
          <w:p w:rsidR="0003259A" w:rsidRDefault="0003259A" w:rsidP="001809CB">
            <w:pPr>
              <w:jc w:val="both"/>
              <w:rPr>
                <w:rFonts w:ascii="Cambria" w:hAnsi="Cambria"/>
              </w:rPr>
            </w:pPr>
            <w:r w:rsidRPr="0003259A">
              <w:rPr>
                <w:rFonts w:ascii="Cambria" w:hAnsi="Cambria"/>
              </w:rPr>
              <w:t xml:space="preserve">Réfléchir à ses propres pratiques de manière </w:t>
            </w:r>
            <w:r>
              <w:rPr>
                <w:rFonts w:ascii="Cambria" w:hAnsi="Cambria"/>
              </w:rPr>
              <w:t>à adopter un mode de vie plus durable</w:t>
            </w:r>
            <w:r w:rsidRPr="0003259A">
              <w:rPr>
                <w:rFonts w:ascii="Cambria" w:hAnsi="Cambria"/>
              </w:rPr>
              <w:t xml:space="preserve"> et à devenir un acteur du changemen</w:t>
            </w:r>
            <w:r>
              <w:rPr>
                <w:rFonts w:ascii="Cambria" w:hAnsi="Cambria"/>
              </w:rPr>
              <w:t>t</w:t>
            </w:r>
          </w:p>
          <w:p w:rsidR="0003259A" w:rsidRDefault="0003259A" w:rsidP="001809CB">
            <w:pPr>
              <w:jc w:val="both"/>
              <w:rPr>
                <w:rFonts w:ascii="Cambria" w:hAnsi="Cambria"/>
              </w:rPr>
            </w:pPr>
            <w:r>
              <w:rPr>
                <w:rFonts w:ascii="Cambria" w:hAnsi="Cambria"/>
              </w:rPr>
              <w:t xml:space="preserve">Acquérir </w:t>
            </w:r>
            <w:r w:rsidR="00E54FDD">
              <w:rPr>
                <w:rFonts w:ascii="Cambria" w:hAnsi="Cambria"/>
              </w:rPr>
              <w:t>des connaissances</w:t>
            </w:r>
            <w:r>
              <w:rPr>
                <w:rFonts w:ascii="Cambria" w:hAnsi="Cambria"/>
              </w:rPr>
              <w:t xml:space="preserve"> permettant de définir et d’appréhender les différentes dimensions d’une logistique durable</w:t>
            </w:r>
          </w:p>
          <w:p w:rsidR="008953D8" w:rsidRDefault="00E54FDD" w:rsidP="001809CB">
            <w:pPr>
              <w:jc w:val="both"/>
              <w:rPr>
                <w:rFonts w:ascii="Cambria" w:hAnsi="Cambria"/>
              </w:rPr>
            </w:pPr>
            <w:r>
              <w:rPr>
                <w:rFonts w:ascii="Cambria" w:hAnsi="Cambria"/>
              </w:rPr>
              <w:t xml:space="preserve">Réfléchir à l’implantation d’une logistique durable et à ses effets dans un champ spécifique (trafic routier et environnement, chaine logistique, etc..). </w:t>
            </w:r>
          </w:p>
          <w:p w:rsidR="008953D8" w:rsidRDefault="00E54FDD" w:rsidP="001809CB">
            <w:pPr>
              <w:jc w:val="both"/>
              <w:rPr>
                <w:rFonts w:ascii="Cambria" w:hAnsi="Cambria"/>
              </w:rPr>
            </w:pPr>
            <w:r>
              <w:rPr>
                <w:rFonts w:ascii="Cambria" w:hAnsi="Cambria"/>
              </w:rPr>
              <w:t xml:space="preserve">Acquérir des connaissances sur les TIC et les nouvelles technologies. </w:t>
            </w:r>
          </w:p>
          <w:p w:rsidR="008953D8" w:rsidRPr="00E54FDD" w:rsidRDefault="00E54FDD" w:rsidP="00E54FDD">
            <w:pPr>
              <w:jc w:val="both"/>
              <w:rPr>
                <w:rFonts w:ascii="Cambria" w:hAnsi="Cambria"/>
              </w:rPr>
            </w:pPr>
            <w:r>
              <w:rPr>
                <w:rFonts w:ascii="Cambria" w:hAnsi="Cambria"/>
              </w:rPr>
              <w:t>Connaître les principaux acteurs de la logistique pour encourager les coopérations fructueuses</w:t>
            </w:r>
          </w:p>
        </w:tc>
      </w:tr>
      <w:tr w:rsidR="008953D8" w:rsidRPr="00F06213" w:rsidTr="001809CB">
        <w:trPr>
          <w:trHeight w:val="217"/>
        </w:trPr>
        <w:tc>
          <w:tcPr>
            <w:tcW w:w="1801" w:type="dxa"/>
            <w:vMerge w:val="restart"/>
            <w:shd w:val="clear" w:color="auto" w:fill="F2F2F2" w:themeFill="background1" w:themeFillShade="F2"/>
            <w:vAlign w:val="center"/>
          </w:tcPr>
          <w:p w:rsidR="008953D8" w:rsidRPr="00511A06" w:rsidRDefault="00E54FDD" w:rsidP="00511A06">
            <w:pPr>
              <w:jc w:val="center"/>
              <w:rPr>
                <w:rFonts w:ascii="Cambria" w:hAnsi="Cambria"/>
              </w:rPr>
            </w:pPr>
            <w:r w:rsidRPr="00511A06">
              <w:rPr>
                <w:rFonts w:ascii="Cambria" w:hAnsi="Cambria"/>
              </w:rPr>
              <w:t xml:space="preserve">Objectifs </w:t>
            </w:r>
            <w:r w:rsidR="00511A06" w:rsidRPr="00511A06">
              <w:rPr>
                <w:rFonts w:ascii="Cambria" w:hAnsi="Cambria"/>
              </w:rPr>
              <w:t xml:space="preserve">pédagogiques </w:t>
            </w:r>
            <w:r w:rsidRPr="00511A06">
              <w:rPr>
                <w:rFonts w:ascii="Cambria" w:hAnsi="Cambria"/>
              </w:rPr>
              <w:t xml:space="preserve">liés au Cadre Européen des Certifications (EQF) </w:t>
            </w:r>
          </w:p>
        </w:tc>
        <w:tc>
          <w:tcPr>
            <w:tcW w:w="8083" w:type="dxa"/>
            <w:shd w:val="clear" w:color="auto" w:fill="F2F2F2" w:themeFill="background1" w:themeFillShade="F2"/>
          </w:tcPr>
          <w:p w:rsidR="008953D8" w:rsidRPr="00E7537E" w:rsidRDefault="00E54FDD" w:rsidP="001809CB">
            <w:pPr>
              <w:tabs>
                <w:tab w:val="left" w:pos="1185"/>
              </w:tabs>
              <w:spacing w:after="0"/>
              <w:rPr>
                <w:rFonts w:ascii="Cambria" w:hAnsi="Cambria"/>
                <w:lang w:val="en-US"/>
              </w:rPr>
            </w:pPr>
            <w:r>
              <w:rPr>
                <w:rFonts w:ascii="Cambria" w:hAnsi="Cambria"/>
                <w:lang w:val="de-DE"/>
              </w:rPr>
              <w:t>Savoirs</w:t>
            </w:r>
          </w:p>
        </w:tc>
      </w:tr>
      <w:tr w:rsidR="008953D8" w:rsidRPr="00F06213" w:rsidTr="001809CB">
        <w:trPr>
          <w:trHeight w:val="632"/>
        </w:trPr>
        <w:tc>
          <w:tcPr>
            <w:tcW w:w="1801" w:type="dxa"/>
            <w:vMerge/>
            <w:shd w:val="clear" w:color="auto" w:fill="F2F2F2" w:themeFill="background1" w:themeFillShade="F2"/>
            <w:vAlign w:val="center"/>
          </w:tcPr>
          <w:p w:rsidR="008953D8" w:rsidRPr="00E7537E" w:rsidRDefault="008953D8" w:rsidP="001809CB">
            <w:pPr>
              <w:jc w:val="center"/>
              <w:rPr>
                <w:rFonts w:ascii="Cambria" w:hAnsi="Cambria"/>
                <w:lang w:val="en-US"/>
              </w:rPr>
            </w:pPr>
          </w:p>
        </w:tc>
        <w:tc>
          <w:tcPr>
            <w:tcW w:w="8083" w:type="dxa"/>
          </w:tcPr>
          <w:p w:rsidR="00E54FDD" w:rsidRPr="00E54FDD" w:rsidRDefault="00E54FDD" w:rsidP="001809CB">
            <w:pPr>
              <w:rPr>
                <w:rFonts w:ascii="Cambria" w:hAnsi="Cambria"/>
              </w:rPr>
            </w:pPr>
            <w:r>
              <w:rPr>
                <w:rFonts w:ascii="Cambria" w:hAnsi="Cambria"/>
              </w:rPr>
              <w:t>Connaître</w:t>
            </w:r>
            <w:r w:rsidRPr="00E54FDD">
              <w:rPr>
                <w:rFonts w:ascii="Cambria" w:hAnsi="Cambria"/>
              </w:rPr>
              <w:t xml:space="preserve"> le concept de soutenabilité</w:t>
            </w:r>
          </w:p>
          <w:p w:rsidR="00E54FDD" w:rsidRDefault="00E54FDD" w:rsidP="001809CB">
            <w:pPr>
              <w:rPr>
                <w:rFonts w:ascii="Cambria" w:hAnsi="Cambria"/>
              </w:rPr>
            </w:pPr>
            <w:r>
              <w:rPr>
                <w:rFonts w:ascii="Cambria" w:hAnsi="Cambria"/>
              </w:rPr>
              <w:t>Connaître la définition d’une logistique durable</w:t>
            </w:r>
          </w:p>
          <w:p w:rsidR="00E54FDD" w:rsidRDefault="00E54FDD" w:rsidP="001809CB">
            <w:pPr>
              <w:rPr>
                <w:rFonts w:ascii="Cambria" w:hAnsi="Cambria"/>
              </w:rPr>
            </w:pPr>
            <w:r>
              <w:rPr>
                <w:rFonts w:ascii="Cambria" w:hAnsi="Cambria"/>
              </w:rPr>
              <w:t>Connaître les TIC et les nouvelles technologies</w:t>
            </w:r>
          </w:p>
          <w:p w:rsidR="008953D8" w:rsidRPr="00E54FDD" w:rsidRDefault="00E54FDD" w:rsidP="001809CB">
            <w:pPr>
              <w:rPr>
                <w:rFonts w:ascii="Cambria" w:hAnsi="Cambria"/>
              </w:rPr>
            </w:pPr>
            <w:r>
              <w:rPr>
                <w:rFonts w:ascii="Cambria" w:hAnsi="Cambria"/>
              </w:rPr>
              <w:t>Apprendre les fondamentaux de la coopération</w:t>
            </w:r>
          </w:p>
        </w:tc>
      </w:tr>
      <w:tr w:rsidR="008953D8" w:rsidRPr="00F06213" w:rsidTr="001809CB">
        <w:trPr>
          <w:trHeight w:val="173"/>
        </w:trPr>
        <w:tc>
          <w:tcPr>
            <w:tcW w:w="1801" w:type="dxa"/>
            <w:vMerge/>
            <w:shd w:val="clear" w:color="auto" w:fill="F2F2F2" w:themeFill="background1" w:themeFillShade="F2"/>
          </w:tcPr>
          <w:p w:rsidR="008953D8" w:rsidRPr="00E54FDD" w:rsidRDefault="008953D8" w:rsidP="001809CB">
            <w:pPr>
              <w:rPr>
                <w:rFonts w:ascii="Cambria" w:hAnsi="Cambria"/>
              </w:rPr>
            </w:pPr>
          </w:p>
        </w:tc>
        <w:tc>
          <w:tcPr>
            <w:tcW w:w="8083" w:type="dxa"/>
            <w:shd w:val="clear" w:color="auto" w:fill="F2F2F2" w:themeFill="background1" w:themeFillShade="F2"/>
          </w:tcPr>
          <w:p w:rsidR="008953D8" w:rsidRPr="00E7537E" w:rsidRDefault="00921FCC" w:rsidP="000A4045">
            <w:pPr>
              <w:tabs>
                <w:tab w:val="left" w:pos="1185"/>
              </w:tabs>
              <w:spacing w:after="0"/>
              <w:rPr>
                <w:rFonts w:ascii="Cambria" w:hAnsi="Cambria"/>
                <w:lang w:val="en-US"/>
              </w:rPr>
            </w:pPr>
            <w:r>
              <w:rPr>
                <w:rFonts w:ascii="Cambria" w:hAnsi="Cambria"/>
                <w:lang w:val="de-DE"/>
              </w:rPr>
              <w:t>Compétences</w:t>
            </w:r>
          </w:p>
        </w:tc>
      </w:tr>
      <w:tr w:rsidR="008953D8" w:rsidRPr="000A4045" w:rsidTr="001809CB">
        <w:trPr>
          <w:trHeight w:val="546"/>
        </w:trPr>
        <w:tc>
          <w:tcPr>
            <w:tcW w:w="1801" w:type="dxa"/>
            <w:vMerge/>
            <w:shd w:val="clear" w:color="auto" w:fill="F2F2F2" w:themeFill="background1" w:themeFillShade="F2"/>
          </w:tcPr>
          <w:p w:rsidR="008953D8" w:rsidRPr="00E7537E" w:rsidRDefault="008953D8" w:rsidP="001809CB">
            <w:pPr>
              <w:rPr>
                <w:rFonts w:ascii="Cambria" w:hAnsi="Cambria"/>
                <w:lang w:val="en-US"/>
              </w:rPr>
            </w:pPr>
          </w:p>
        </w:tc>
        <w:tc>
          <w:tcPr>
            <w:tcW w:w="8083" w:type="dxa"/>
          </w:tcPr>
          <w:p w:rsidR="00511A06" w:rsidRPr="00511A06" w:rsidRDefault="00511A06" w:rsidP="001809CB">
            <w:pPr>
              <w:rPr>
                <w:rFonts w:ascii="Cambria" w:hAnsi="Cambria" w:cs="Calibri"/>
              </w:rPr>
            </w:pPr>
            <w:r w:rsidRPr="00511A06">
              <w:rPr>
                <w:rFonts w:ascii="Cambria" w:hAnsi="Cambria" w:cs="Calibri"/>
              </w:rPr>
              <w:t>Comprends la structure du concept de logistique durable</w:t>
            </w:r>
          </w:p>
          <w:p w:rsidR="008953D8" w:rsidRPr="000A4045" w:rsidRDefault="00511A06" w:rsidP="001809CB">
            <w:pPr>
              <w:rPr>
                <w:rFonts w:ascii="Cambria" w:hAnsi="Cambria" w:cs="Calibri"/>
              </w:rPr>
            </w:pPr>
            <w:r>
              <w:rPr>
                <w:rFonts w:ascii="Cambria" w:hAnsi="Cambria" w:cs="Calibri"/>
              </w:rPr>
              <w:t xml:space="preserve">Prends en compte les possibilités de réduire l’impact environnemental du transport. </w:t>
            </w:r>
          </w:p>
        </w:tc>
      </w:tr>
      <w:tr w:rsidR="008953D8" w:rsidRPr="00F06213" w:rsidTr="001809CB">
        <w:trPr>
          <w:trHeight w:val="285"/>
        </w:trPr>
        <w:tc>
          <w:tcPr>
            <w:tcW w:w="1801" w:type="dxa"/>
            <w:vMerge/>
            <w:shd w:val="clear" w:color="auto" w:fill="F2F2F2" w:themeFill="background1" w:themeFillShade="F2"/>
          </w:tcPr>
          <w:p w:rsidR="008953D8" w:rsidRPr="000A4045" w:rsidRDefault="008953D8" w:rsidP="001809CB">
            <w:pPr>
              <w:rPr>
                <w:rFonts w:ascii="Cambria" w:hAnsi="Cambria"/>
              </w:rPr>
            </w:pPr>
          </w:p>
        </w:tc>
        <w:tc>
          <w:tcPr>
            <w:tcW w:w="8083" w:type="dxa"/>
            <w:shd w:val="clear" w:color="auto" w:fill="F2F2F2" w:themeFill="background1" w:themeFillShade="F2"/>
          </w:tcPr>
          <w:p w:rsidR="008953D8" w:rsidRPr="00E7537E" w:rsidRDefault="00921FCC" w:rsidP="001809CB">
            <w:pPr>
              <w:spacing w:after="0"/>
              <w:contextualSpacing/>
              <w:rPr>
                <w:rFonts w:ascii="Cambria" w:hAnsi="Cambria"/>
                <w:lang w:val="en-US"/>
              </w:rPr>
            </w:pPr>
            <w:r>
              <w:rPr>
                <w:rFonts w:ascii="Cambria" w:hAnsi="Cambria"/>
                <w:lang w:val="en-US"/>
              </w:rPr>
              <w:t>Comportements professionnels</w:t>
            </w:r>
          </w:p>
        </w:tc>
      </w:tr>
      <w:tr w:rsidR="008953D8" w:rsidRPr="000A4045" w:rsidTr="001809CB">
        <w:trPr>
          <w:trHeight w:val="525"/>
        </w:trPr>
        <w:tc>
          <w:tcPr>
            <w:tcW w:w="1801" w:type="dxa"/>
            <w:vMerge/>
            <w:shd w:val="clear" w:color="auto" w:fill="F2F2F2" w:themeFill="background1" w:themeFillShade="F2"/>
          </w:tcPr>
          <w:p w:rsidR="008953D8" w:rsidRPr="00E7537E" w:rsidRDefault="008953D8" w:rsidP="001809CB">
            <w:pPr>
              <w:rPr>
                <w:rFonts w:ascii="Cambria" w:hAnsi="Cambria"/>
                <w:lang w:val="en-US"/>
              </w:rPr>
            </w:pPr>
          </w:p>
        </w:tc>
        <w:tc>
          <w:tcPr>
            <w:tcW w:w="8083" w:type="dxa"/>
          </w:tcPr>
          <w:p w:rsidR="008953D8" w:rsidRPr="000A4045" w:rsidRDefault="000A4045" w:rsidP="001809CB">
            <w:pPr>
              <w:rPr>
                <w:rFonts w:ascii="Cambria" w:hAnsi="Cambria"/>
              </w:rPr>
            </w:pPr>
            <w:r w:rsidRPr="000A4045">
              <w:rPr>
                <w:rFonts w:ascii="Cambria" w:hAnsi="Cambria"/>
              </w:rPr>
              <w:t>S’appuie sur la coopération au quotidien (réseaux)</w:t>
            </w:r>
          </w:p>
        </w:tc>
      </w:tr>
    </w:tbl>
    <w:p w:rsidR="008953D8" w:rsidRPr="000A4045" w:rsidRDefault="008953D8" w:rsidP="008953D8">
      <w:pPr>
        <w:rPr>
          <w:rFonts w:ascii="Cambria" w:hAnsi="Cambria"/>
          <w:b/>
          <w:sz w:val="28"/>
          <w:szCs w:val="28"/>
          <w:lang w:eastAsia="de-AT"/>
        </w:rPr>
      </w:pPr>
    </w:p>
    <w:p w:rsidR="008953D8" w:rsidRPr="00D641A5" w:rsidRDefault="00921FCC" w:rsidP="008953D8">
      <w:pPr>
        <w:tabs>
          <w:tab w:val="left" w:pos="3825"/>
        </w:tabs>
        <w:rPr>
          <w:rFonts w:ascii="Cambria" w:hAnsi="Cambria"/>
          <w:sz w:val="28"/>
          <w:szCs w:val="28"/>
          <w:lang w:val="en-GB" w:eastAsia="de-AT"/>
        </w:rPr>
      </w:pPr>
      <w:r>
        <w:rPr>
          <w:rFonts w:ascii="Cambria" w:hAnsi="Cambria"/>
          <w:b/>
          <w:sz w:val="28"/>
          <w:szCs w:val="28"/>
          <w:lang w:val="en-GB" w:eastAsia="de-AT"/>
        </w:rPr>
        <w:lastRenderedPageBreak/>
        <w:t>Description du contenu</w:t>
      </w:r>
    </w:p>
    <w:tbl>
      <w:tblPr>
        <w:tblStyle w:val="Tabellenraster"/>
        <w:tblW w:w="0" w:type="auto"/>
        <w:tblLook w:val="04A0" w:firstRow="1" w:lastRow="0" w:firstColumn="1" w:lastColumn="0" w:noHBand="0" w:noVBand="1"/>
      </w:tblPr>
      <w:tblGrid>
        <w:gridCol w:w="9288"/>
      </w:tblGrid>
      <w:tr w:rsidR="008953D8" w:rsidTr="001809CB">
        <w:tc>
          <w:tcPr>
            <w:tcW w:w="9595" w:type="dxa"/>
            <w:shd w:val="clear" w:color="auto" w:fill="F2F2F2" w:themeFill="background1" w:themeFillShade="F2"/>
          </w:tcPr>
          <w:p w:rsidR="008953D8" w:rsidRPr="00E7537E" w:rsidRDefault="009A187B" w:rsidP="001809CB">
            <w:pPr>
              <w:tabs>
                <w:tab w:val="left" w:pos="1995"/>
                <w:tab w:val="left" w:pos="2325"/>
              </w:tabs>
              <w:spacing w:after="0"/>
              <w:rPr>
                <w:rFonts w:ascii="Cambria" w:hAnsi="Cambria"/>
                <w:lang w:val="en-US"/>
              </w:rPr>
            </w:pPr>
            <w:r>
              <w:rPr>
                <w:rFonts w:ascii="Cambria" w:hAnsi="Cambria"/>
                <w:lang w:val="en-US"/>
              </w:rPr>
              <w:t>Structure et méthode</w:t>
            </w:r>
          </w:p>
        </w:tc>
      </w:tr>
      <w:tr w:rsidR="008953D8" w:rsidRPr="00DC046F" w:rsidTr="001809CB">
        <w:tc>
          <w:tcPr>
            <w:tcW w:w="9595" w:type="dxa"/>
          </w:tcPr>
          <w:p w:rsidR="008953D8" w:rsidRPr="009A187B" w:rsidRDefault="009A187B" w:rsidP="001809CB">
            <w:pPr>
              <w:tabs>
                <w:tab w:val="left" w:pos="1185"/>
              </w:tabs>
              <w:spacing w:after="0"/>
              <w:rPr>
                <w:rFonts w:ascii="Cambria" w:hAnsi="Cambria"/>
              </w:rPr>
            </w:pPr>
            <w:r w:rsidRPr="009A187B">
              <w:rPr>
                <w:rFonts w:ascii="Cambria" w:hAnsi="Cambria"/>
              </w:rPr>
              <w:t xml:space="preserve">La REL se divise en trois </w:t>
            </w:r>
            <w:r w:rsidR="00DC046F" w:rsidRPr="009A187B">
              <w:rPr>
                <w:rFonts w:ascii="Cambria" w:hAnsi="Cambria"/>
              </w:rPr>
              <w:t>parties :</w:t>
            </w:r>
          </w:p>
          <w:p w:rsidR="007B3DB9" w:rsidRPr="007B3DB9" w:rsidRDefault="009A187B" w:rsidP="001809CB">
            <w:pPr>
              <w:pStyle w:val="Listenabsatz"/>
              <w:numPr>
                <w:ilvl w:val="0"/>
                <w:numId w:val="3"/>
              </w:numPr>
              <w:tabs>
                <w:tab w:val="left" w:pos="1185"/>
              </w:tabs>
              <w:spacing w:after="0"/>
              <w:rPr>
                <w:rFonts w:ascii="Cambria" w:hAnsi="Cambria"/>
              </w:rPr>
            </w:pPr>
            <w:r w:rsidRPr="007B3DB9">
              <w:rPr>
                <w:rFonts w:ascii="Cambria" w:hAnsi="Cambria"/>
              </w:rPr>
              <w:t>Un cours d’introduction (</w:t>
            </w:r>
            <w:r w:rsidR="007B3DB9" w:rsidRPr="007B3DB9">
              <w:rPr>
                <w:rFonts w:ascii="Cambria" w:hAnsi="Cambria"/>
              </w:rPr>
              <w:t>REL n°1, autoré</w:t>
            </w:r>
            <w:r w:rsidRPr="007B3DB9">
              <w:rPr>
                <w:rFonts w:ascii="Cambria" w:hAnsi="Cambria"/>
              </w:rPr>
              <w:t xml:space="preserve">flexion et </w:t>
            </w:r>
            <w:r w:rsidR="00DC046F" w:rsidRPr="007B3DB9">
              <w:rPr>
                <w:rFonts w:ascii="Cambria" w:hAnsi="Cambria"/>
              </w:rPr>
              <w:t>exposés :</w:t>
            </w:r>
            <w:r w:rsidR="007B3DB9" w:rsidRPr="007B3DB9">
              <w:rPr>
                <w:rFonts w:ascii="Cambria" w:hAnsi="Cambria"/>
              </w:rPr>
              <w:t xml:space="preserve"> Feuillet de la REL n°4 inclus)</w:t>
            </w:r>
            <w:r w:rsidR="007B3DB9">
              <w:rPr>
                <w:rFonts w:ascii="Cambria" w:hAnsi="Cambria"/>
              </w:rPr>
              <w:t xml:space="preserve"> </w:t>
            </w:r>
          </w:p>
          <w:p w:rsidR="008953D8" w:rsidRPr="007B3DB9" w:rsidRDefault="007B3DB9" w:rsidP="001809CB">
            <w:pPr>
              <w:pStyle w:val="Listenabsatz"/>
              <w:numPr>
                <w:ilvl w:val="0"/>
                <w:numId w:val="3"/>
              </w:numPr>
              <w:tabs>
                <w:tab w:val="left" w:pos="1185"/>
              </w:tabs>
              <w:spacing w:after="0"/>
              <w:rPr>
                <w:rFonts w:ascii="Cambria" w:hAnsi="Cambria"/>
              </w:rPr>
            </w:pPr>
            <w:r w:rsidRPr="007B3DB9">
              <w:rPr>
                <w:rFonts w:ascii="Cambria" w:hAnsi="Cambria"/>
              </w:rPr>
              <w:t xml:space="preserve">REL n°3, vidéos Youtube </w:t>
            </w:r>
            <w:r w:rsidR="008953D8" w:rsidRPr="007B3DB9">
              <w:rPr>
                <w:rFonts w:ascii="Cambria" w:hAnsi="Cambria"/>
              </w:rPr>
              <w:t>(</w:t>
            </w:r>
            <w:r w:rsidRPr="007B3DB9">
              <w:rPr>
                <w:rFonts w:ascii="Cambria" w:hAnsi="Cambria"/>
              </w:rPr>
              <w:t xml:space="preserve">apports, résumé et </w:t>
            </w:r>
            <w:r w:rsidR="001C43F3" w:rsidRPr="007B3DB9">
              <w:rPr>
                <w:rFonts w:ascii="Cambria" w:hAnsi="Cambria"/>
              </w:rPr>
              <w:t>réflexion</w:t>
            </w:r>
            <w:r w:rsidRPr="007B3DB9">
              <w:rPr>
                <w:rFonts w:ascii="Cambria" w:hAnsi="Cambria"/>
              </w:rPr>
              <w:t xml:space="preserve"> sur le contenu) </w:t>
            </w:r>
          </w:p>
          <w:p w:rsidR="008953D8" w:rsidRPr="006C0FFC" w:rsidRDefault="007B3DB9" w:rsidP="008953D8">
            <w:pPr>
              <w:pStyle w:val="Listenabsatz"/>
              <w:numPr>
                <w:ilvl w:val="0"/>
                <w:numId w:val="3"/>
              </w:numPr>
              <w:tabs>
                <w:tab w:val="left" w:pos="1185"/>
              </w:tabs>
              <w:spacing w:after="0"/>
              <w:rPr>
                <w:rFonts w:ascii="Cambria" w:hAnsi="Cambria"/>
              </w:rPr>
            </w:pPr>
            <w:r w:rsidRPr="006C0FFC">
              <w:rPr>
                <w:rFonts w:ascii="Cambria" w:hAnsi="Cambria"/>
              </w:rPr>
              <w:t xml:space="preserve">REL n°4, </w:t>
            </w:r>
            <w:r w:rsidR="006C0FFC" w:rsidRPr="006C0FFC">
              <w:rPr>
                <w:rFonts w:ascii="Cambria" w:hAnsi="Cambria"/>
              </w:rPr>
              <w:t xml:space="preserve">feuille de travail </w:t>
            </w:r>
            <w:r w:rsidR="008953D8" w:rsidRPr="006C0FFC">
              <w:rPr>
                <w:rFonts w:ascii="Cambria" w:hAnsi="Cambria"/>
              </w:rPr>
              <w:t>(</w:t>
            </w:r>
            <w:r w:rsidR="006C0FFC" w:rsidRPr="006C0FFC">
              <w:rPr>
                <w:rFonts w:ascii="Cambria" w:hAnsi="Cambria"/>
              </w:rPr>
              <w:t>résumé des apports, travail en groupe -discussion-</w:t>
            </w:r>
            <w:r w:rsidR="006C0FFC">
              <w:rPr>
                <w:rFonts w:ascii="Cambria" w:hAnsi="Cambria"/>
              </w:rPr>
              <w:t xml:space="preserve"> </w:t>
            </w:r>
            <w:r w:rsidR="006C0FFC" w:rsidRPr="006C0FFC">
              <w:rPr>
                <w:rFonts w:ascii="Cambria" w:hAnsi="Cambria"/>
              </w:rPr>
              <w:t xml:space="preserve">réflexion, présentation de la discussion </w:t>
            </w:r>
            <w:r w:rsidR="006C0FFC">
              <w:rPr>
                <w:rFonts w:ascii="Cambria" w:hAnsi="Cambria"/>
              </w:rPr>
              <w:t>en séance plénière, retours complémentaires effectués par l’</w:t>
            </w:r>
            <w:r w:rsidR="00716556">
              <w:rPr>
                <w:rFonts w:ascii="Cambria" w:hAnsi="Cambria"/>
              </w:rPr>
              <w:t>enseignant et les pairs)</w:t>
            </w:r>
          </w:p>
          <w:p w:rsidR="008953D8" w:rsidRPr="00186B80" w:rsidRDefault="006C0FFC" w:rsidP="008953D8">
            <w:pPr>
              <w:pStyle w:val="Listenabsatz"/>
              <w:numPr>
                <w:ilvl w:val="0"/>
                <w:numId w:val="3"/>
              </w:numPr>
              <w:tabs>
                <w:tab w:val="left" w:pos="1185"/>
              </w:tabs>
              <w:spacing w:after="0"/>
              <w:rPr>
                <w:rFonts w:ascii="Cambria" w:hAnsi="Cambria"/>
              </w:rPr>
            </w:pPr>
            <w:r w:rsidRPr="00186B80">
              <w:rPr>
                <w:rFonts w:ascii="Cambria" w:hAnsi="Cambria"/>
              </w:rPr>
              <w:t xml:space="preserve">REL n°5, document </w:t>
            </w:r>
            <w:r w:rsidR="00DC046F" w:rsidRPr="00186B80">
              <w:rPr>
                <w:rFonts w:ascii="Cambria" w:hAnsi="Cambria"/>
              </w:rPr>
              <w:t>Word :</w:t>
            </w:r>
            <w:r w:rsidRPr="00186B80">
              <w:rPr>
                <w:rFonts w:ascii="Cambria" w:hAnsi="Cambria"/>
              </w:rPr>
              <w:t xml:space="preserve"> Evaluation et questions en </w:t>
            </w:r>
            <w:r w:rsidR="00186B80" w:rsidRPr="00186B80">
              <w:rPr>
                <w:rFonts w:ascii="Cambria" w:hAnsi="Cambria"/>
              </w:rPr>
              <w:t>réaction</w:t>
            </w:r>
            <w:r w:rsidRPr="00186B80">
              <w:rPr>
                <w:rFonts w:ascii="Cambria" w:hAnsi="Cambria"/>
              </w:rPr>
              <w:t xml:space="preserve"> aux REL (questions et </w:t>
            </w:r>
            <w:r w:rsidR="00186B80" w:rsidRPr="00186B80">
              <w:rPr>
                <w:rFonts w:ascii="Cambria" w:hAnsi="Cambria"/>
              </w:rPr>
              <w:t>réactions</w:t>
            </w:r>
            <w:r w:rsidRPr="00186B80">
              <w:rPr>
                <w:rFonts w:ascii="Cambria" w:hAnsi="Cambria"/>
              </w:rPr>
              <w:t xml:space="preserve">, </w:t>
            </w:r>
            <w:r w:rsidR="00186B80" w:rsidRPr="00186B80">
              <w:rPr>
                <w:rFonts w:ascii="Cambria" w:hAnsi="Cambria"/>
              </w:rPr>
              <w:t xml:space="preserve">travail individuel ou en groupe, prise de notes, “empreinte” </w:t>
            </w:r>
            <w:r w:rsidR="00186B80">
              <w:rPr>
                <w:rFonts w:ascii="Cambria" w:hAnsi="Cambria"/>
              </w:rPr>
              <w:t>-</w:t>
            </w:r>
            <w:r w:rsidR="00186B80" w:rsidRPr="00186B80">
              <w:rPr>
                <w:rFonts w:ascii="Cambria" w:hAnsi="Cambria"/>
              </w:rPr>
              <w:t xml:space="preserve"> définir mon </w:t>
            </w:r>
            <w:r w:rsidR="00186B80">
              <w:rPr>
                <w:rFonts w:ascii="Cambria" w:hAnsi="Cambria"/>
              </w:rPr>
              <w:t>propre</w:t>
            </w:r>
            <w:r w:rsidR="00186B80" w:rsidRPr="00186B80">
              <w:rPr>
                <w:rFonts w:ascii="Cambria" w:hAnsi="Cambria"/>
              </w:rPr>
              <w:t xml:space="preserve"> champ d’action durable</w:t>
            </w:r>
            <w:r w:rsidR="00186B80">
              <w:rPr>
                <w:rFonts w:ascii="Cambria" w:hAnsi="Cambria"/>
              </w:rPr>
              <w:t xml:space="preserve"> - </w:t>
            </w:r>
            <w:r w:rsidR="00186B80" w:rsidRPr="00186B80">
              <w:rPr>
                <w:rFonts w:ascii="Cambria" w:hAnsi="Cambria"/>
              </w:rPr>
              <w:t>, partager en groupe et rempli</w:t>
            </w:r>
            <w:r w:rsidR="00186B80">
              <w:rPr>
                <w:rFonts w:ascii="Cambria" w:hAnsi="Cambria"/>
              </w:rPr>
              <w:t>r le formulaire d’évaluation avec s</w:t>
            </w:r>
            <w:r w:rsidR="00186B80" w:rsidRPr="00186B80">
              <w:rPr>
                <w:rFonts w:ascii="Cambria" w:hAnsi="Cambria"/>
              </w:rPr>
              <w:t xml:space="preserve">es pairs) </w:t>
            </w:r>
          </w:p>
          <w:p w:rsidR="008953D8" w:rsidRPr="00186B80" w:rsidRDefault="00186B80" w:rsidP="008953D8">
            <w:pPr>
              <w:pStyle w:val="Listenabsatz"/>
              <w:numPr>
                <w:ilvl w:val="0"/>
                <w:numId w:val="3"/>
              </w:numPr>
              <w:tabs>
                <w:tab w:val="left" w:pos="1185"/>
              </w:tabs>
              <w:spacing w:after="0"/>
              <w:rPr>
                <w:rFonts w:ascii="Cambria" w:hAnsi="Cambria"/>
              </w:rPr>
            </w:pPr>
            <w:r w:rsidRPr="00186B80">
              <w:rPr>
                <w:rFonts w:ascii="Cambria" w:hAnsi="Cambria"/>
              </w:rPr>
              <w:t>REL n°6</w:t>
            </w:r>
            <w:r w:rsidR="00DC046F">
              <w:rPr>
                <w:rFonts w:ascii="Cambria" w:hAnsi="Cambria"/>
              </w:rPr>
              <w:t>,</w:t>
            </w:r>
            <w:r w:rsidRPr="00186B80">
              <w:rPr>
                <w:rFonts w:ascii="Cambria" w:hAnsi="Cambria"/>
              </w:rPr>
              <w:t xml:space="preserve"> cours introductif sur les </w:t>
            </w:r>
            <w:r>
              <w:rPr>
                <w:rFonts w:ascii="Cambria" w:hAnsi="Cambria"/>
              </w:rPr>
              <w:t>t</w:t>
            </w:r>
            <w:r w:rsidRPr="00186B80">
              <w:rPr>
                <w:rFonts w:ascii="Cambria" w:hAnsi="Cambria"/>
              </w:rPr>
              <w:t xml:space="preserve">ransport et </w:t>
            </w:r>
            <w:r>
              <w:rPr>
                <w:rFonts w:ascii="Cambria" w:hAnsi="Cambria"/>
              </w:rPr>
              <w:t>l’</w:t>
            </w:r>
            <w:r w:rsidRPr="00186B80">
              <w:rPr>
                <w:rFonts w:ascii="Cambria" w:hAnsi="Cambria"/>
              </w:rPr>
              <w:t>environnement</w:t>
            </w:r>
            <w:r w:rsidR="008953D8" w:rsidRPr="00186B80">
              <w:rPr>
                <w:rFonts w:ascii="Cambria" w:hAnsi="Cambria"/>
              </w:rPr>
              <w:t xml:space="preserve">, </w:t>
            </w:r>
            <w:r>
              <w:rPr>
                <w:rFonts w:ascii="Cambria" w:hAnsi="Cambria"/>
              </w:rPr>
              <w:t xml:space="preserve">exercices </w:t>
            </w:r>
            <w:r w:rsidR="00063F49">
              <w:rPr>
                <w:rFonts w:ascii="Cambria" w:hAnsi="Cambria"/>
              </w:rPr>
              <w:t>interactifs</w:t>
            </w:r>
            <w:r>
              <w:rPr>
                <w:rFonts w:ascii="Cambria" w:hAnsi="Cambria"/>
              </w:rPr>
              <w:t>, vidéo (PowerPoint/Série de diapositives</w:t>
            </w:r>
            <w:r w:rsidR="00716556">
              <w:rPr>
                <w:rFonts w:ascii="Cambria" w:hAnsi="Cambria"/>
              </w:rPr>
              <w:t xml:space="preserve">, exposés, travail en groupe et retours de l’enseignant et des pairs) </w:t>
            </w:r>
          </w:p>
          <w:p w:rsidR="008953D8" w:rsidRPr="00DC046F" w:rsidRDefault="00DC046F" w:rsidP="008953D8">
            <w:pPr>
              <w:pStyle w:val="Listenabsatz"/>
              <w:numPr>
                <w:ilvl w:val="0"/>
                <w:numId w:val="3"/>
              </w:numPr>
              <w:tabs>
                <w:tab w:val="left" w:pos="1185"/>
              </w:tabs>
              <w:spacing w:after="0"/>
              <w:rPr>
                <w:rFonts w:ascii="Cambria" w:hAnsi="Cambria"/>
              </w:rPr>
            </w:pPr>
            <w:r w:rsidRPr="00DC046F">
              <w:rPr>
                <w:rFonts w:ascii="Cambria" w:hAnsi="Cambria"/>
              </w:rPr>
              <w:t xml:space="preserve">REL n°7, feuille de travail </w:t>
            </w:r>
            <w:r w:rsidR="008953D8" w:rsidRPr="00DC046F">
              <w:rPr>
                <w:rFonts w:ascii="Cambria" w:hAnsi="Cambria"/>
              </w:rPr>
              <w:t>(</w:t>
            </w:r>
            <w:r w:rsidR="00063F49">
              <w:rPr>
                <w:rFonts w:ascii="Cambria" w:hAnsi="Cambria"/>
              </w:rPr>
              <w:t>liens pour la c</w:t>
            </w:r>
            <w:r w:rsidRPr="00DC046F">
              <w:rPr>
                <w:rFonts w:ascii="Cambria" w:hAnsi="Cambria"/>
              </w:rPr>
              <w:t>oopération dans la logistique, enqu</w:t>
            </w:r>
            <w:r>
              <w:rPr>
                <w:rFonts w:ascii="Cambria" w:hAnsi="Cambria"/>
              </w:rPr>
              <w:t>ête individuelle ou en petits groupes, présentation des résultats à la classe)</w:t>
            </w:r>
          </w:p>
          <w:p w:rsidR="008953D8" w:rsidRPr="00DC046F" w:rsidRDefault="008953D8" w:rsidP="001809CB">
            <w:pPr>
              <w:tabs>
                <w:tab w:val="left" w:pos="1185"/>
              </w:tabs>
              <w:spacing w:after="0"/>
              <w:rPr>
                <w:rFonts w:ascii="Cambria" w:hAnsi="Cambria"/>
                <w:i/>
                <w:color w:val="808080" w:themeColor="background1" w:themeShade="80"/>
              </w:rPr>
            </w:pPr>
          </w:p>
        </w:tc>
      </w:tr>
      <w:tr w:rsidR="008953D8" w:rsidTr="001809CB">
        <w:tc>
          <w:tcPr>
            <w:tcW w:w="9595" w:type="dxa"/>
            <w:shd w:val="clear" w:color="auto" w:fill="F2F2F2" w:themeFill="background1" w:themeFillShade="F2"/>
          </w:tcPr>
          <w:p w:rsidR="008953D8" w:rsidRPr="00CC1CCD" w:rsidRDefault="00063F49" w:rsidP="001809CB">
            <w:pPr>
              <w:tabs>
                <w:tab w:val="left" w:pos="1995"/>
                <w:tab w:val="left" w:pos="2325"/>
              </w:tabs>
              <w:spacing w:after="0"/>
              <w:rPr>
                <w:rFonts w:ascii="Cambria" w:hAnsi="Cambria"/>
                <w:lang w:val="en-GB"/>
              </w:rPr>
            </w:pPr>
            <w:r>
              <w:rPr>
                <w:rFonts w:ascii="Cambria" w:hAnsi="Cambria"/>
                <w:lang w:val="en-US"/>
              </w:rPr>
              <w:t>Temps estimé</w:t>
            </w:r>
          </w:p>
        </w:tc>
      </w:tr>
      <w:tr w:rsidR="008953D8" w:rsidTr="001809CB">
        <w:tc>
          <w:tcPr>
            <w:tcW w:w="9595" w:type="dxa"/>
            <w:shd w:val="clear" w:color="auto" w:fill="FFFFFF" w:themeFill="background1"/>
          </w:tcPr>
          <w:p w:rsidR="008953D8" w:rsidRDefault="008953D8" w:rsidP="001809CB">
            <w:pPr>
              <w:rPr>
                <w:rFonts w:ascii="Cambria" w:hAnsi="Cambria"/>
              </w:rPr>
            </w:pPr>
            <w:r>
              <w:rPr>
                <w:rFonts w:ascii="Cambria" w:hAnsi="Cambria"/>
              </w:rPr>
              <w:t>S</w:t>
            </w:r>
            <w:r w:rsidR="000E3FCE">
              <w:rPr>
                <w:rFonts w:ascii="Cambria" w:hAnsi="Cambria"/>
              </w:rPr>
              <w:t>ession</w:t>
            </w:r>
            <w:r>
              <w:rPr>
                <w:rFonts w:ascii="Cambria" w:hAnsi="Cambria"/>
              </w:rPr>
              <w:t xml:space="preserve"> 1</w:t>
            </w:r>
            <w:r w:rsidR="000E3FCE">
              <w:rPr>
                <w:rFonts w:ascii="Cambria" w:hAnsi="Cambria"/>
              </w:rPr>
              <w:t xml:space="preserve">: </w:t>
            </w:r>
            <w:r w:rsidR="00063F49">
              <w:rPr>
                <w:rFonts w:ascii="Cambria" w:hAnsi="Cambria"/>
              </w:rPr>
              <w:t>Concept de soutenabilité</w:t>
            </w:r>
            <w:r>
              <w:rPr>
                <w:rFonts w:ascii="Cambria" w:hAnsi="Cambria"/>
              </w:rPr>
              <w:t>: 275 min</w:t>
            </w:r>
          </w:p>
          <w:p w:rsidR="008953D8" w:rsidRDefault="000E3FCE" w:rsidP="001809CB">
            <w:pPr>
              <w:rPr>
                <w:rFonts w:ascii="Cambria" w:hAnsi="Cambria"/>
              </w:rPr>
            </w:pPr>
            <w:r>
              <w:rPr>
                <w:rFonts w:ascii="Cambria" w:hAnsi="Cambria"/>
              </w:rPr>
              <w:t>Session</w:t>
            </w:r>
            <w:r w:rsidR="00B74DB2">
              <w:rPr>
                <w:rFonts w:ascii="Cambria" w:hAnsi="Cambria"/>
              </w:rPr>
              <w:t xml:space="preserve"> 2: </w:t>
            </w:r>
            <w:r w:rsidR="00063F49">
              <w:rPr>
                <w:rFonts w:ascii="Cambria" w:hAnsi="Cambria"/>
              </w:rPr>
              <w:t xml:space="preserve">Logistique durable, transport et </w:t>
            </w:r>
            <w:r>
              <w:rPr>
                <w:rFonts w:ascii="Cambria" w:hAnsi="Cambria"/>
              </w:rPr>
              <w:t>environ</w:t>
            </w:r>
            <w:r w:rsidR="00063F49">
              <w:rPr>
                <w:rFonts w:ascii="Cambria" w:hAnsi="Cambria"/>
              </w:rPr>
              <w:t>ne</w:t>
            </w:r>
            <w:r>
              <w:rPr>
                <w:rFonts w:ascii="Cambria" w:hAnsi="Cambria"/>
              </w:rPr>
              <w:t>ment</w:t>
            </w:r>
            <w:r w:rsidR="008953D8">
              <w:rPr>
                <w:rFonts w:ascii="Cambria" w:hAnsi="Cambria"/>
              </w:rPr>
              <w:t>: 60 – 400 min</w:t>
            </w:r>
          </w:p>
          <w:p w:rsidR="008953D8" w:rsidRPr="00CC1CCD" w:rsidRDefault="000E3FCE" w:rsidP="000E3FCE">
            <w:pPr>
              <w:rPr>
                <w:rFonts w:ascii="Cambria" w:hAnsi="Cambria"/>
              </w:rPr>
            </w:pPr>
            <w:r>
              <w:rPr>
                <w:rFonts w:ascii="Cambria" w:hAnsi="Cambria"/>
              </w:rPr>
              <w:t>Session</w:t>
            </w:r>
            <w:r w:rsidR="008953D8">
              <w:rPr>
                <w:rFonts w:ascii="Cambria" w:hAnsi="Cambria"/>
              </w:rPr>
              <w:t xml:space="preserve"> 3</w:t>
            </w:r>
            <w:r w:rsidR="00063F49">
              <w:rPr>
                <w:rFonts w:ascii="Cambria" w:hAnsi="Cambria"/>
              </w:rPr>
              <w:t>: Coopé</w:t>
            </w:r>
            <w:r>
              <w:rPr>
                <w:rFonts w:ascii="Cambria" w:hAnsi="Cambria"/>
              </w:rPr>
              <w:t>ration</w:t>
            </w:r>
            <w:r w:rsidR="008953D8">
              <w:rPr>
                <w:rFonts w:ascii="Cambria" w:hAnsi="Cambria"/>
              </w:rPr>
              <w:t>: 50 – 100 min</w:t>
            </w:r>
          </w:p>
        </w:tc>
      </w:tr>
      <w:tr w:rsidR="008953D8" w:rsidRPr="00063F49" w:rsidTr="001809CB">
        <w:tc>
          <w:tcPr>
            <w:tcW w:w="9595" w:type="dxa"/>
            <w:shd w:val="clear" w:color="auto" w:fill="F2F2F2" w:themeFill="background1" w:themeFillShade="F2"/>
          </w:tcPr>
          <w:p w:rsidR="008953D8" w:rsidRPr="00E379A4" w:rsidRDefault="00063F49" w:rsidP="00063F49">
            <w:pPr>
              <w:tabs>
                <w:tab w:val="left" w:pos="1995"/>
                <w:tab w:val="left" w:pos="2325"/>
              </w:tabs>
              <w:spacing w:after="0"/>
              <w:rPr>
                <w:rFonts w:ascii="Cambria" w:hAnsi="Cambria"/>
              </w:rPr>
            </w:pPr>
            <w:r w:rsidRPr="00E379A4">
              <w:rPr>
                <w:rFonts w:ascii="Cambria" w:hAnsi="Cambria"/>
              </w:rPr>
              <w:t xml:space="preserve">L’unité se compose t-elle de sous-unités? </w:t>
            </w:r>
          </w:p>
        </w:tc>
      </w:tr>
      <w:tr w:rsidR="008953D8" w:rsidRPr="00063F49" w:rsidTr="001809CB">
        <w:tc>
          <w:tcPr>
            <w:tcW w:w="9595" w:type="dxa"/>
            <w:shd w:val="clear" w:color="auto" w:fill="FFFFFF" w:themeFill="background1"/>
          </w:tcPr>
          <w:p w:rsidR="008953D8" w:rsidRPr="00EB2146" w:rsidRDefault="008953D8" w:rsidP="001809CB">
            <w:pPr>
              <w:rPr>
                <w:rFonts w:ascii="Cambria" w:hAnsi="Cambria"/>
                <w:lang w:val="en-GB"/>
              </w:rPr>
            </w:pPr>
            <w:r>
              <w:rPr>
                <w:rFonts w:ascii="Cambria" w:hAnsi="Cambria"/>
                <w:lang w:val="en-GB"/>
              </w:rPr>
              <w:t>No</w:t>
            </w:r>
            <w:r w:rsidR="00063F49">
              <w:rPr>
                <w:rFonts w:ascii="Cambria" w:hAnsi="Cambria"/>
                <w:lang w:val="en-GB"/>
              </w:rPr>
              <w:t>n</w:t>
            </w:r>
          </w:p>
        </w:tc>
      </w:tr>
      <w:tr w:rsidR="008953D8" w:rsidRPr="00063F49" w:rsidTr="001809CB">
        <w:tc>
          <w:tcPr>
            <w:tcW w:w="9595" w:type="dxa"/>
            <w:shd w:val="clear" w:color="auto" w:fill="F2F2F2" w:themeFill="background1" w:themeFillShade="F2"/>
          </w:tcPr>
          <w:p w:rsidR="008953D8" w:rsidRPr="004B15E1" w:rsidRDefault="00063F49" w:rsidP="001809CB">
            <w:pPr>
              <w:tabs>
                <w:tab w:val="left" w:pos="1995"/>
                <w:tab w:val="left" w:pos="2325"/>
              </w:tabs>
              <w:spacing w:after="0"/>
              <w:rPr>
                <w:rFonts w:ascii="Cambria" w:hAnsi="Cambria"/>
                <w:lang w:val="en-US"/>
              </w:rPr>
            </w:pPr>
            <w:r>
              <w:rPr>
                <w:rFonts w:ascii="Cambria" w:hAnsi="Cambria"/>
                <w:lang w:val="en-US"/>
              </w:rPr>
              <w:t>Langues d’apprentissage disponibles</w:t>
            </w:r>
          </w:p>
        </w:tc>
      </w:tr>
      <w:tr w:rsidR="008953D8" w:rsidRPr="00063F49" w:rsidTr="001809CB">
        <w:tc>
          <w:tcPr>
            <w:tcW w:w="9595" w:type="dxa"/>
          </w:tcPr>
          <w:p w:rsidR="008953D8" w:rsidRPr="00E7537E" w:rsidRDefault="00063F49" w:rsidP="001809CB">
            <w:pPr>
              <w:rPr>
                <w:rFonts w:ascii="Cambria" w:hAnsi="Cambria"/>
                <w:lang w:val="en-US"/>
              </w:rPr>
            </w:pPr>
            <w:r>
              <w:rPr>
                <w:rFonts w:ascii="Cambria" w:hAnsi="Cambria"/>
                <w:lang w:val="en-US"/>
              </w:rPr>
              <w:t>Anglais et Allemand</w:t>
            </w:r>
          </w:p>
        </w:tc>
      </w:tr>
      <w:tr w:rsidR="008953D8" w:rsidRPr="00063F49" w:rsidTr="001809CB">
        <w:tc>
          <w:tcPr>
            <w:tcW w:w="9595" w:type="dxa"/>
            <w:shd w:val="clear" w:color="auto" w:fill="F2F2F2" w:themeFill="background1" w:themeFillShade="F2"/>
          </w:tcPr>
          <w:p w:rsidR="008953D8" w:rsidRPr="00063F49" w:rsidRDefault="00063F49" w:rsidP="001809CB">
            <w:pPr>
              <w:tabs>
                <w:tab w:val="left" w:pos="1995"/>
                <w:tab w:val="left" w:pos="2325"/>
              </w:tabs>
              <w:spacing w:after="0"/>
              <w:rPr>
                <w:rFonts w:ascii="Cambria" w:hAnsi="Cambria"/>
              </w:rPr>
            </w:pPr>
            <w:r w:rsidRPr="00063F49">
              <w:rPr>
                <w:rFonts w:ascii="Cambria" w:hAnsi="Cambria"/>
              </w:rPr>
              <w:t>Nombre de participants (min/max)</w:t>
            </w:r>
          </w:p>
        </w:tc>
      </w:tr>
      <w:tr w:rsidR="008953D8" w:rsidRPr="00063F49" w:rsidTr="001809CB">
        <w:tc>
          <w:tcPr>
            <w:tcW w:w="9595" w:type="dxa"/>
            <w:shd w:val="clear" w:color="auto" w:fill="FFFFFF" w:themeFill="background1"/>
          </w:tcPr>
          <w:p w:rsidR="008953D8" w:rsidRPr="00E7537E" w:rsidRDefault="00063F49" w:rsidP="001809CB">
            <w:pPr>
              <w:rPr>
                <w:rFonts w:ascii="Cambria" w:hAnsi="Cambria"/>
                <w:lang w:val="en-US"/>
              </w:rPr>
            </w:pPr>
            <w:r>
              <w:rPr>
                <w:rFonts w:ascii="Cambria" w:hAnsi="Cambria"/>
                <w:lang w:val="en-US"/>
              </w:rPr>
              <w:t>5 - 30</w:t>
            </w:r>
          </w:p>
        </w:tc>
      </w:tr>
    </w:tbl>
    <w:p w:rsidR="008953D8" w:rsidRPr="004B15E1" w:rsidRDefault="008953D8" w:rsidP="008953D8">
      <w:pPr>
        <w:rPr>
          <w:rFonts w:ascii="Cambria" w:hAnsi="Cambria"/>
          <w:b/>
          <w:sz w:val="4"/>
          <w:szCs w:val="4"/>
          <w:lang w:val="en-US" w:eastAsia="de-AT"/>
        </w:rPr>
      </w:pPr>
    </w:p>
    <w:p w:rsidR="008953D8" w:rsidRDefault="008953D8" w:rsidP="008953D8">
      <w:pPr>
        <w:rPr>
          <w:rFonts w:ascii="Cambria" w:hAnsi="Cambria"/>
          <w:b/>
          <w:sz w:val="28"/>
          <w:szCs w:val="28"/>
          <w:lang w:val="en-GB" w:eastAsia="de-AT"/>
        </w:rPr>
      </w:pPr>
    </w:p>
    <w:p w:rsidR="008953D8" w:rsidRPr="008953D8" w:rsidRDefault="000A3C89" w:rsidP="008953D8">
      <w:pPr>
        <w:pStyle w:val="Listenabsatz"/>
        <w:numPr>
          <w:ilvl w:val="1"/>
          <w:numId w:val="1"/>
        </w:numPr>
        <w:tabs>
          <w:tab w:val="left" w:pos="1170"/>
        </w:tabs>
        <w:rPr>
          <w:rFonts w:ascii="Cambria" w:hAnsi="Cambria"/>
          <w:b/>
          <w:sz w:val="36"/>
          <w:szCs w:val="36"/>
          <w:u w:val="single"/>
          <w:lang w:val="en-GB" w:eastAsia="de-AT"/>
        </w:rPr>
      </w:pPr>
      <w:r>
        <w:rPr>
          <w:rFonts w:ascii="Cambria" w:hAnsi="Cambria"/>
          <w:b/>
          <w:sz w:val="36"/>
          <w:szCs w:val="36"/>
          <w:u w:val="single"/>
          <w:lang w:val="en-GB" w:eastAsia="de-AT"/>
        </w:rPr>
        <w:t>Justification</w:t>
      </w:r>
      <w:r w:rsidR="000E6EED">
        <w:rPr>
          <w:rFonts w:ascii="Cambria" w:hAnsi="Cambria"/>
          <w:b/>
          <w:sz w:val="36"/>
          <w:szCs w:val="36"/>
          <w:u w:val="single"/>
          <w:lang w:val="en-GB" w:eastAsia="de-AT"/>
        </w:rPr>
        <w:t xml:space="preserve"> des ressources</w:t>
      </w:r>
    </w:p>
    <w:p w:rsidR="008953D8" w:rsidRDefault="008953D8" w:rsidP="008953D8">
      <w:pPr>
        <w:pStyle w:val="Listenabsatz"/>
        <w:tabs>
          <w:tab w:val="left" w:pos="1170"/>
        </w:tabs>
        <w:rPr>
          <w:rFonts w:ascii="Cambria" w:hAnsi="Cambria"/>
          <w:sz w:val="28"/>
          <w:szCs w:val="28"/>
          <w:lang w:val="en-GB" w:eastAsia="de-AT"/>
        </w:rPr>
      </w:pPr>
    </w:p>
    <w:p w:rsidR="000B06B2" w:rsidRPr="000E6EED" w:rsidRDefault="000E6EED" w:rsidP="000B06B2">
      <w:pPr>
        <w:rPr>
          <w:rFonts w:ascii="Cambria" w:hAnsi="Cambria"/>
          <w:b/>
          <w:lang w:eastAsia="de-AT"/>
        </w:rPr>
      </w:pPr>
      <w:r w:rsidRPr="00E379A4">
        <w:rPr>
          <w:rFonts w:ascii="Cambria" w:hAnsi="Cambria"/>
          <w:b/>
          <w:lang w:eastAsia="de-AT"/>
        </w:rPr>
        <w:t xml:space="preserve">Chapitre 1. </w:t>
      </w:r>
      <w:r w:rsidRPr="000E6EED">
        <w:rPr>
          <w:rFonts w:ascii="Cambria" w:hAnsi="Cambria"/>
          <w:b/>
          <w:lang w:eastAsia="de-AT"/>
        </w:rPr>
        <w:t>Les Ressources Educatives Libres créées et l’Education Ouverte</w:t>
      </w:r>
    </w:p>
    <w:p w:rsidR="000B06B2" w:rsidRPr="000E6EED" w:rsidRDefault="000E6EED" w:rsidP="000B06B2">
      <w:pPr>
        <w:pStyle w:val="Listenabsatz"/>
        <w:numPr>
          <w:ilvl w:val="0"/>
          <w:numId w:val="8"/>
        </w:numPr>
        <w:spacing w:after="120"/>
        <w:contextualSpacing w:val="0"/>
        <w:rPr>
          <w:rFonts w:ascii="Cambria" w:hAnsi="Cambria"/>
          <w:lang w:eastAsia="de-AT"/>
        </w:rPr>
      </w:pPr>
      <w:r w:rsidRPr="000E6EED">
        <w:rPr>
          <w:rFonts w:ascii="Cambria" w:hAnsi="Cambria"/>
          <w:lang w:eastAsia="de-AT"/>
        </w:rPr>
        <w:t>La licence CC que</w:t>
      </w:r>
      <w:r w:rsidR="000B06B2" w:rsidRPr="000E6EED">
        <w:rPr>
          <w:rFonts w:ascii="Cambria" w:hAnsi="Cambria"/>
          <w:lang w:eastAsia="de-AT"/>
        </w:rPr>
        <w:t xml:space="preserve"> BFI OOE</w:t>
      </w:r>
      <w:r w:rsidRPr="000E6EED">
        <w:rPr>
          <w:rFonts w:ascii="Cambria" w:hAnsi="Cambria"/>
          <w:lang w:eastAsia="de-AT"/>
        </w:rPr>
        <w:t xml:space="preserve"> a choisi pour sa RE</w:t>
      </w:r>
      <w:r>
        <w:rPr>
          <w:rFonts w:ascii="Cambria" w:hAnsi="Cambria"/>
          <w:lang w:eastAsia="de-AT"/>
        </w:rPr>
        <w:t>L sur la logistique durable est </w:t>
      </w:r>
      <w:r w:rsidR="009F370F">
        <w:rPr>
          <w:rFonts w:ascii="Cambria" w:hAnsi="Cambria"/>
          <w:lang w:eastAsia="de-AT"/>
        </w:rPr>
        <w:t>la suivante :</w:t>
      </w:r>
    </w:p>
    <w:p w:rsidR="00F0672D" w:rsidRPr="000E6EED" w:rsidRDefault="0037658C" w:rsidP="000B06B2">
      <w:pPr>
        <w:pStyle w:val="Listenabsatz"/>
        <w:spacing w:after="120"/>
        <w:ind w:left="714"/>
        <w:contextualSpacing w:val="0"/>
        <w:rPr>
          <w:rFonts w:ascii="Cambria" w:hAnsi="Cambria"/>
          <w:lang w:eastAsia="de-AT"/>
        </w:rPr>
      </w:pPr>
      <w:r>
        <w:rPr>
          <w:noProof/>
          <w:lang w:val="de-DE" w:eastAsia="de-DE"/>
        </w:rPr>
        <w:lastRenderedPageBreak/>
        <w:drawing>
          <wp:inline distT="0" distB="0" distL="0" distR="0">
            <wp:extent cx="1304925" cy="4762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304925" cy="476250"/>
                    </a:xfrm>
                    <a:prstGeom prst="rect">
                      <a:avLst/>
                    </a:prstGeom>
                  </pic:spPr>
                </pic:pic>
              </a:graphicData>
            </a:graphic>
          </wp:inline>
        </w:drawing>
      </w:r>
    </w:p>
    <w:p w:rsidR="00F0672D" w:rsidRPr="0072725F" w:rsidRDefault="00F0672D" w:rsidP="0072725F">
      <w:pPr>
        <w:pStyle w:val="Listenabsatz"/>
        <w:spacing w:after="120"/>
        <w:ind w:left="714"/>
        <w:contextualSpacing w:val="0"/>
        <w:jc w:val="both"/>
        <w:rPr>
          <w:rFonts w:cs="Arial"/>
          <w:color w:val="000000" w:themeColor="text1"/>
          <w:sz w:val="18"/>
          <w:szCs w:val="18"/>
        </w:rPr>
      </w:pPr>
      <w:r w:rsidRPr="0072725F">
        <w:rPr>
          <w:sz w:val="18"/>
          <w:szCs w:val="18"/>
        </w:rPr>
        <w:t xml:space="preserve">Birgit Kaps / Gabriele Winkler - </w:t>
      </w:r>
      <w:r w:rsidRPr="0072725F">
        <w:rPr>
          <w:rFonts w:cs="Arial"/>
          <w:b/>
          <w:bCs/>
          <w:color w:val="000000" w:themeColor="text1"/>
          <w:sz w:val="18"/>
          <w:szCs w:val="18"/>
        </w:rPr>
        <w:t>CC-BY-SA</w:t>
      </w:r>
      <w:r w:rsidR="0072725F" w:rsidRPr="0072725F">
        <w:rPr>
          <w:rFonts w:cs="Arial"/>
          <w:b/>
          <w:bCs/>
          <w:color w:val="000000" w:themeColor="text1"/>
          <w:sz w:val="18"/>
          <w:szCs w:val="18"/>
        </w:rPr>
        <w:t xml:space="preserve"> ou attribution dans les mêmes conditions</w:t>
      </w:r>
      <w:r w:rsidR="0072725F">
        <w:rPr>
          <w:rFonts w:cs="Arial"/>
          <w:b/>
          <w:bCs/>
          <w:color w:val="000000" w:themeColor="text1"/>
          <w:sz w:val="18"/>
          <w:szCs w:val="18"/>
        </w:rPr>
        <w:t xml:space="preserve"> -</w:t>
      </w:r>
      <w:r w:rsidR="009F370F">
        <w:rPr>
          <w:rFonts w:cs="Arial"/>
          <w:color w:val="000000" w:themeColor="text1"/>
          <w:sz w:val="18"/>
          <w:szCs w:val="18"/>
        </w:rPr>
        <w:t xml:space="preserve">. Cette licence </w:t>
      </w:r>
      <w:r w:rsidR="000E6EED" w:rsidRPr="0072725F">
        <w:rPr>
          <w:rFonts w:cs="Arial"/>
          <w:color w:val="000000" w:themeColor="text1"/>
          <w:sz w:val="18"/>
          <w:szCs w:val="18"/>
        </w:rPr>
        <w:t xml:space="preserve">permet de </w:t>
      </w:r>
      <w:r w:rsidR="0072725F">
        <w:rPr>
          <w:rFonts w:cs="Arial"/>
          <w:color w:val="000000" w:themeColor="text1"/>
          <w:sz w:val="18"/>
          <w:szCs w:val="18"/>
        </w:rPr>
        <w:t xml:space="preserve">copier, distribuer et communiquer le matériel par tous moyens et sous tous formats. En outre, il est possible de remixer, transformer et créer à partir du matériel pour toute utilisation, tout en créditant l’œuvre et en mentionnant si des modifications ont été effectuées. </w:t>
      </w:r>
    </w:p>
    <w:p w:rsidR="00D36797" w:rsidRDefault="001C43F3" w:rsidP="009F370F">
      <w:pPr>
        <w:pStyle w:val="Listenabsatz"/>
        <w:spacing w:after="120"/>
        <w:ind w:left="714"/>
        <w:contextualSpacing w:val="0"/>
        <w:jc w:val="both"/>
        <w:rPr>
          <w:rFonts w:ascii="Cambria" w:hAnsi="Cambria"/>
          <w:lang w:eastAsia="de-AT"/>
        </w:rPr>
      </w:pPr>
      <w:r>
        <w:rPr>
          <w:rFonts w:ascii="Cambria" w:hAnsi="Cambria"/>
          <w:lang w:eastAsia="de-AT"/>
        </w:rPr>
        <w:t>Le module</w:t>
      </w:r>
      <w:r w:rsidR="00D36797" w:rsidRPr="00D36797">
        <w:rPr>
          <w:rFonts w:ascii="Cambria" w:hAnsi="Cambria"/>
          <w:lang w:eastAsia="de-AT"/>
        </w:rPr>
        <w:t xml:space="preserve"> est </w:t>
      </w:r>
      <w:r w:rsidR="009F370F">
        <w:rPr>
          <w:rFonts w:ascii="Cambria" w:hAnsi="Cambria"/>
          <w:lang w:eastAsia="de-AT"/>
        </w:rPr>
        <w:t>un mélange</w:t>
      </w:r>
      <w:r w:rsidR="00D36797" w:rsidRPr="00D36797">
        <w:rPr>
          <w:rFonts w:ascii="Cambria" w:hAnsi="Cambria"/>
          <w:lang w:eastAsia="de-AT"/>
        </w:rPr>
        <w:t xml:space="preserve"> de REL déjà existantes et de nouvelles développées pour cette </w:t>
      </w:r>
      <w:r w:rsidR="00D36797">
        <w:rPr>
          <w:rFonts w:ascii="Cambria" w:hAnsi="Cambria"/>
          <w:lang w:eastAsia="de-AT"/>
        </w:rPr>
        <w:t>unité</w:t>
      </w:r>
      <w:r w:rsidR="00D36797" w:rsidRPr="00D36797">
        <w:rPr>
          <w:rFonts w:ascii="Cambria" w:hAnsi="Cambria"/>
          <w:lang w:eastAsia="de-AT"/>
        </w:rPr>
        <w:t xml:space="preserve">. </w:t>
      </w:r>
      <w:r>
        <w:rPr>
          <w:rFonts w:ascii="Cambria" w:hAnsi="Cambria"/>
          <w:lang w:eastAsia="de-AT"/>
        </w:rPr>
        <w:t>Il</w:t>
      </w:r>
      <w:r w:rsidR="00D36797">
        <w:rPr>
          <w:rFonts w:ascii="Cambria" w:hAnsi="Cambria"/>
          <w:lang w:eastAsia="de-AT"/>
        </w:rPr>
        <w:t xml:space="preserve"> contient des textes, des vidéos (Youtube), un document PowerPoint et une série de liens. Il s’agit davantage </w:t>
      </w:r>
      <w:r w:rsidR="00DA677A">
        <w:rPr>
          <w:rFonts w:ascii="Cambria" w:hAnsi="Cambria"/>
          <w:lang w:eastAsia="de-AT"/>
        </w:rPr>
        <w:t>d’outils pédagogiques</w:t>
      </w:r>
      <w:r w:rsidR="00D36797">
        <w:rPr>
          <w:rFonts w:ascii="Cambria" w:hAnsi="Cambria"/>
          <w:lang w:eastAsia="de-AT"/>
        </w:rPr>
        <w:t xml:space="preserve"> classique</w:t>
      </w:r>
      <w:r w:rsidR="00DA677A">
        <w:rPr>
          <w:rFonts w:ascii="Cambria" w:hAnsi="Cambria"/>
          <w:lang w:eastAsia="de-AT"/>
        </w:rPr>
        <w:t>s publiés</w:t>
      </w:r>
      <w:r w:rsidR="00D36797">
        <w:rPr>
          <w:rFonts w:ascii="Cambria" w:hAnsi="Cambria"/>
          <w:lang w:eastAsia="de-AT"/>
        </w:rPr>
        <w:t xml:space="preserve"> sous une licence Creative Common que </w:t>
      </w:r>
      <w:r w:rsidR="003C3E7C">
        <w:rPr>
          <w:rFonts w:ascii="Cambria" w:hAnsi="Cambria"/>
          <w:lang w:eastAsia="de-AT"/>
        </w:rPr>
        <w:t>de</w:t>
      </w:r>
      <w:r w:rsidR="00D36797">
        <w:rPr>
          <w:rFonts w:ascii="Cambria" w:hAnsi="Cambria"/>
          <w:lang w:eastAsia="de-AT"/>
        </w:rPr>
        <w:t xml:space="preserve"> méthodes d’apprentissage innovantes. Néanmoins, </w:t>
      </w:r>
      <w:r w:rsidR="00C524AB">
        <w:rPr>
          <w:rFonts w:ascii="Cambria" w:hAnsi="Cambria"/>
          <w:lang w:eastAsia="de-AT"/>
        </w:rPr>
        <w:t xml:space="preserve">son approche didactique est innovante et promeut davantage d’ouverture dans l’enseignement. </w:t>
      </w:r>
    </w:p>
    <w:p w:rsidR="000B06B2" w:rsidRPr="00E379A4" w:rsidRDefault="000B06B2" w:rsidP="000B06B2">
      <w:pPr>
        <w:pStyle w:val="Listenabsatz"/>
        <w:spacing w:after="120"/>
        <w:ind w:left="714"/>
        <w:contextualSpacing w:val="0"/>
        <w:rPr>
          <w:rFonts w:ascii="Cambria" w:hAnsi="Cambria"/>
          <w:lang w:eastAsia="de-AT"/>
        </w:rPr>
      </w:pPr>
    </w:p>
    <w:p w:rsidR="00896261" w:rsidRPr="00201019" w:rsidRDefault="003C3E7C" w:rsidP="00201019">
      <w:pPr>
        <w:pStyle w:val="Listenabsatz"/>
        <w:numPr>
          <w:ilvl w:val="0"/>
          <w:numId w:val="8"/>
        </w:numPr>
        <w:spacing w:after="120"/>
        <w:jc w:val="both"/>
        <w:rPr>
          <w:rFonts w:ascii="Cambria" w:hAnsi="Cambria"/>
          <w:lang w:eastAsia="de-AT"/>
        </w:rPr>
      </w:pPr>
      <w:r w:rsidRPr="00DA677A">
        <w:rPr>
          <w:rFonts w:ascii="Cambria" w:hAnsi="Cambria"/>
          <w:lang w:eastAsia="de-AT"/>
        </w:rPr>
        <w:t>Même si le</w:t>
      </w:r>
      <w:r w:rsidR="00DA677A" w:rsidRPr="00DA677A">
        <w:rPr>
          <w:rFonts w:ascii="Cambria" w:hAnsi="Cambria"/>
          <w:lang w:eastAsia="de-AT"/>
        </w:rPr>
        <w:t xml:space="preserve">s outils pédagogiques sont plutôt classiques (textes, pdf, vidéos, diapositives PowerPoint), l’unité s’appuie sur une approche didactique de l’enseignement qui se veut plus ouverte et orientée vers un nouveau paradigme de l’enseignement. </w:t>
      </w:r>
      <w:r w:rsidR="00DA677A">
        <w:rPr>
          <w:rFonts w:ascii="Cambria" w:hAnsi="Cambria"/>
          <w:lang w:eastAsia="de-AT"/>
        </w:rPr>
        <w:t xml:space="preserve">Le contenu pédagogique s’appuie très peu sur une méthode d’enseignement centrée sur l’enseignant (début des séquences). Lorsque c’est le cas, cette approche classique est utilisée de manière à communiquer les informations et à introduire le sujet (concepts de soutenabilité et de logistique durable, transport et environnement). </w:t>
      </w:r>
      <w:r w:rsidR="008F4002">
        <w:rPr>
          <w:rFonts w:ascii="Cambria" w:hAnsi="Cambria"/>
          <w:lang w:eastAsia="de-AT"/>
        </w:rPr>
        <w:t>Pour l’</w:t>
      </w:r>
      <w:r w:rsidR="008A3E83">
        <w:rPr>
          <w:rFonts w:ascii="Cambria" w:hAnsi="Cambria"/>
          <w:lang w:eastAsia="de-AT"/>
        </w:rPr>
        <w:t xml:space="preserve">essentiel, les unités proposent différents matériaux </w:t>
      </w:r>
      <w:r w:rsidR="00F600D3">
        <w:rPr>
          <w:rFonts w:ascii="Cambria" w:hAnsi="Cambria"/>
          <w:lang w:eastAsia="de-AT"/>
        </w:rPr>
        <w:t>interactifs</w:t>
      </w:r>
      <w:r w:rsidR="008A3E83">
        <w:rPr>
          <w:rFonts w:ascii="Cambria" w:hAnsi="Cambria"/>
          <w:lang w:eastAsia="de-AT"/>
        </w:rPr>
        <w:t xml:space="preserve"> qui encouragent la collaboration, l’autoréflexion et les </w:t>
      </w:r>
      <w:r w:rsidR="00F600D3">
        <w:rPr>
          <w:rFonts w:ascii="Cambria" w:hAnsi="Cambria"/>
          <w:lang w:eastAsia="de-AT"/>
        </w:rPr>
        <w:t>interactions</w:t>
      </w:r>
      <w:r w:rsidR="008A3E83">
        <w:rPr>
          <w:rFonts w:ascii="Cambria" w:hAnsi="Cambria"/>
          <w:lang w:eastAsia="de-AT"/>
        </w:rPr>
        <w:t xml:space="preserve"> en groupes par le biais du travail collectif et de jeux de rôle.</w:t>
      </w:r>
    </w:p>
    <w:p w:rsidR="00896261" w:rsidRPr="00896261" w:rsidRDefault="00896261" w:rsidP="00896261">
      <w:pPr>
        <w:spacing w:after="120"/>
        <w:ind w:left="360"/>
        <w:jc w:val="both"/>
        <w:rPr>
          <w:rFonts w:ascii="Cambria" w:hAnsi="Cambria"/>
          <w:lang w:eastAsia="de-AT"/>
        </w:rPr>
      </w:pPr>
      <w:r w:rsidRPr="00896261">
        <w:rPr>
          <w:rFonts w:ascii="Cambria" w:hAnsi="Cambria"/>
          <w:lang w:eastAsia="de-AT"/>
        </w:rPr>
        <w:t xml:space="preserve">Le matériel </w:t>
      </w:r>
      <w:r>
        <w:rPr>
          <w:rFonts w:ascii="Cambria" w:hAnsi="Cambria"/>
          <w:lang w:eastAsia="de-AT"/>
        </w:rPr>
        <w:t>émule</w:t>
      </w:r>
      <w:r w:rsidRPr="00896261">
        <w:rPr>
          <w:rFonts w:ascii="Cambria" w:hAnsi="Cambria"/>
          <w:lang w:eastAsia="de-AT"/>
        </w:rPr>
        <w:t xml:space="preserve"> et invite les apprenants, à travers les tâches et les questions d'apprentissage, à </w:t>
      </w:r>
      <w:r>
        <w:rPr>
          <w:rFonts w:ascii="Cambria" w:hAnsi="Cambria"/>
          <w:lang w:eastAsia="de-AT"/>
        </w:rPr>
        <w:t>mobiliser</w:t>
      </w:r>
      <w:r w:rsidRPr="00896261">
        <w:rPr>
          <w:rFonts w:ascii="Cambria" w:hAnsi="Cambria"/>
          <w:lang w:eastAsia="de-AT"/>
        </w:rPr>
        <w:t xml:space="preserve"> leur propre vie personnelle et professionnelle, leurs expériences pratiques et leurs connaissances et à établir à tout moment un lien avec leurs propres pratiques de vie et les améliorations possibles (dans le domaine de la durabilité/mode de vie durable, la logistique durable, l'environnement et la circulation</w:t>
      </w:r>
      <w:r>
        <w:rPr>
          <w:rFonts w:ascii="Cambria" w:hAnsi="Cambria"/>
          <w:lang w:eastAsia="de-AT"/>
        </w:rPr>
        <w:t xml:space="preserve"> routière</w:t>
      </w:r>
      <w:r w:rsidRPr="00896261">
        <w:rPr>
          <w:rFonts w:ascii="Cambria" w:hAnsi="Cambria"/>
          <w:lang w:eastAsia="de-AT"/>
        </w:rPr>
        <w:t xml:space="preserve">). De plus, l'évaluation est faite de telle manière qu'elle stimule et inspire </w:t>
      </w:r>
      <w:r w:rsidR="009F370F">
        <w:rPr>
          <w:rFonts w:ascii="Cambria" w:hAnsi="Cambria"/>
          <w:lang w:eastAsia="de-AT"/>
        </w:rPr>
        <w:t>l’autoréflexion</w:t>
      </w:r>
      <w:r>
        <w:rPr>
          <w:rFonts w:ascii="Cambria" w:hAnsi="Cambria"/>
          <w:lang w:eastAsia="de-AT"/>
        </w:rPr>
        <w:t xml:space="preserve"> chez l</w:t>
      </w:r>
      <w:r w:rsidRPr="00896261">
        <w:rPr>
          <w:rFonts w:ascii="Cambria" w:hAnsi="Cambria"/>
          <w:lang w:eastAsia="de-AT"/>
        </w:rPr>
        <w:t xml:space="preserve">es apprenants. En outre, </w:t>
      </w:r>
      <w:r>
        <w:rPr>
          <w:rFonts w:ascii="Cambria" w:hAnsi="Cambria"/>
          <w:lang w:eastAsia="de-AT"/>
        </w:rPr>
        <w:t>elle les invite</w:t>
      </w:r>
      <w:r w:rsidRPr="00896261">
        <w:rPr>
          <w:rFonts w:ascii="Cambria" w:hAnsi="Cambria"/>
          <w:lang w:eastAsia="de-AT"/>
        </w:rPr>
        <w:t xml:space="preserve"> à devenir créatif, par exemple </w:t>
      </w:r>
      <w:r>
        <w:rPr>
          <w:rFonts w:ascii="Cambria" w:hAnsi="Cambria"/>
          <w:lang w:eastAsia="de-AT"/>
        </w:rPr>
        <w:t xml:space="preserve">en réfléchissant à leur </w:t>
      </w:r>
      <w:r w:rsidRPr="00896261">
        <w:rPr>
          <w:rFonts w:ascii="Cambria" w:hAnsi="Cambria"/>
          <w:lang w:eastAsia="de-AT"/>
        </w:rPr>
        <w:t>propre empreinte.</w:t>
      </w:r>
    </w:p>
    <w:p w:rsidR="00896261" w:rsidRPr="00896261" w:rsidRDefault="00896261" w:rsidP="00201019">
      <w:pPr>
        <w:spacing w:after="120"/>
        <w:ind w:left="360"/>
        <w:jc w:val="both"/>
        <w:rPr>
          <w:rFonts w:ascii="Cambria" w:hAnsi="Cambria"/>
          <w:lang w:eastAsia="de-AT"/>
        </w:rPr>
      </w:pPr>
      <w:r w:rsidRPr="00896261">
        <w:rPr>
          <w:rFonts w:ascii="Cambria" w:hAnsi="Cambria"/>
          <w:lang w:eastAsia="de-AT"/>
        </w:rPr>
        <w:t xml:space="preserve">Le paradigme d'enseignement et d'apprentissage </w:t>
      </w:r>
      <w:r>
        <w:rPr>
          <w:rFonts w:ascii="Cambria" w:hAnsi="Cambria"/>
          <w:lang w:eastAsia="de-AT"/>
        </w:rPr>
        <w:t>mobilis</w:t>
      </w:r>
      <w:r w:rsidRPr="00896261">
        <w:rPr>
          <w:rFonts w:ascii="Cambria" w:hAnsi="Cambria"/>
          <w:lang w:eastAsia="de-AT"/>
        </w:rPr>
        <w:t xml:space="preserve">é dans cette </w:t>
      </w:r>
      <w:r w:rsidR="001C43F3">
        <w:rPr>
          <w:rFonts w:ascii="Cambria" w:hAnsi="Cambria"/>
          <w:lang w:eastAsia="de-AT"/>
        </w:rPr>
        <w:t>unité est basé sur l'hypothèse selon laquelle</w:t>
      </w:r>
      <w:r w:rsidRPr="00896261">
        <w:rPr>
          <w:rFonts w:ascii="Cambria" w:hAnsi="Cambria"/>
          <w:lang w:eastAsia="de-AT"/>
        </w:rPr>
        <w:t xml:space="preserve"> les apprenants ont déjà </w:t>
      </w:r>
      <w:r>
        <w:rPr>
          <w:rFonts w:ascii="Cambria" w:hAnsi="Cambria"/>
          <w:lang w:eastAsia="de-AT"/>
        </w:rPr>
        <w:t>un avis et</w:t>
      </w:r>
      <w:r w:rsidRPr="00896261">
        <w:rPr>
          <w:rFonts w:ascii="Cambria" w:hAnsi="Cambria"/>
          <w:lang w:eastAsia="de-AT"/>
        </w:rPr>
        <w:t xml:space="preserve"> des connaissances sur le sujet, même lorsqu'ils n'en sont pas conscients</w:t>
      </w:r>
      <w:r>
        <w:rPr>
          <w:rFonts w:ascii="Cambria" w:hAnsi="Cambria"/>
          <w:lang w:eastAsia="de-AT"/>
        </w:rPr>
        <w:t>. C</w:t>
      </w:r>
      <w:r w:rsidRPr="00896261">
        <w:rPr>
          <w:rFonts w:ascii="Cambria" w:hAnsi="Cambria"/>
          <w:lang w:eastAsia="de-AT"/>
        </w:rPr>
        <w:t xml:space="preserve">'est le rôle du formateur </w:t>
      </w:r>
      <w:r>
        <w:rPr>
          <w:rFonts w:ascii="Cambria" w:hAnsi="Cambria"/>
          <w:lang w:eastAsia="de-AT"/>
        </w:rPr>
        <w:t>d’introduire le sujet</w:t>
      </w:r>
      <w:r w:rsidRPr="00896261">
        <w:rPr>
          <w:rFonts w:ascii="Cambria" w:hAnsi="Cambria"/>
          <w:lang w:eastAsia="de-AT"/>
        </w:rPr>
        <w:t xml:space="preserve">, d'une part, </w:t>
      </w:r>
      <w:r>
        <w:rPr>
          <w:rFonts w:ascii="Cambria" w:hAnsi="Cambria"/>
          <w:lang w:eastAsia="de-AT"/>
        </w:rPr>
        <w:t>d’approfondir</w:t>
      </w:r>
      <w:r w:rsidRPr="00896261">
        <w:rPr>
          <w:rFonts w:ascii="Cambria" w:hAnsi="Cambria"/>
          <w:lang w:eastAsia="de-AT"/>
        </w:rPr>
        <w:t xml:space="preserve"> par des exe</w:t>
      </w:r>
      <w:r w:rsidR="009F370F">
        <w:rPr>
          <w:rFonts w:ascii="Cambria" w:hAnsi="Cambria"/>
          <w:lang w:eastAsia="de-AT"/>
        </w:rPr>
        <w:t>rcices en groupe, individuels, en séances</w:t>
      </w:r>
      <w:r w:rsidRPr="00896261">
        <w:rPr>
          <w:rFonts w:ascii="Cambria" w:hAnsi="Cambria"/>
          <w:lang w:eastAsia="de-AT"/>
        </w:rPr>
        <w:t xml:space="preserve"> plénières</w:t>
      </w:r>
      <w:r w:rsidR="009F370F">
        <w:rPr>
          <w:rFonts w:ascii="Cambria" w:hAnsi="Cambria"/>
          <w:lang w:eastAsia="de-AT"/>
        </w:rPr>
        <w:t xml:space="preserve"> et en s’appuyant sur les REL </w:t>
      </w:r>
      <w:r>
        <w:rPr>
          <w:rFonts w:ascii="Cambria" w:hAnsi="Cambria"/>
          <w:lang w:eastAsia="de-AT"/>
        </w:rPr>
        <w:t>d’</w:t>
      </w:r>
      <w:r w:rsidR="009F370F">
        <w:rPr>
          <w:rFonts w:ascii="Cambria" w:hAnsi="Cambria"/>
          <w:lang w:eastAsia="de-AT"/>
        </w:rPr>
        <w:t>autre part</w:t>
      </w:r>
      <w:r w:rsidRPr="00896261">
        <w:rPr>
          <w:rFonts w:ascii="Cambria" w:hAnsi="Cambria"/>
          <w:lang w:eastAsia="de-AT"/>
        </w:rPr>
        <w:t xml:space="preserve"> </w:t>
      </w:r>
      <w:r>
        <w:rPr>
          <w:rFonts w:ascii="Cambria" w:hAnsi="Cambria"/>
          <w:lang w:eastAsia="de-AT"/>
        </w:rPr>
        <w:t>pour favoriser</w:t>
      </w:r>
      <w:r w:rsidRPr="00896261">
        <w:rPr>
          <w:rFonts w:ascii="Cambria" w:hAnsi="Cambria"/>
          <w:lang w:eastAsia="de-AT"/>
        </w:rPr>
        <w:t xml:space="preserve"> un processus d'apprentissage </w:t>
      </w:r>
      <w:r w:rsidR="00201019">
        <w:rPr>
          <w:rFonts w:ascii="Cambria" w:hAnsi="Cambria"/>
          <w:lang w:eastAsia="de-AT"/>
        </w:rPr>
        <w:t>où</w:t>
      </w:r>
      <w:r w:rsidRPr="00896261">
        <w:rPr>
          <w:rFonts w:ascii="Cambria" w:hAnsi="Cambria"/>
          <w:lang w:eastAsia="de-AT"/>
        </w:rPr>
        <w:t xml:space="preserve"> connaissances </w:t>
      </w:r>
      <w:r w:rsidR="00201019">
        <w:rPr>
          <w:rFonts w:ascii="Cambria" w:hAnsi="Cambria"/>
          <w:lang w:eastAsia="de-AT"/>
        </w:rPr>
        <w:t>personnelles</w:t>
      </w:r>
      <w:r w:rsidR="009F370F">
        <w:rPr>
          <w:rFonts w:ascii="Cambria" w:hAnsi="Cambria"/>
          <w:lang w:eastAsia="de-AT"/>
        </w:rPr>
        <w:t xml:space="preserve"> préalables</w:t>
      </w:r>
      <w:r w:rsidR="00201019">
        <w:rPr>
          <w:rFonts w:ascii="Cambria" w:hAnsi="Cambria"/>
          <w:lang w:eastAsia="de-AT"/>
        </w:rPr>
        <w:t xml:space="preserve"> et </w:t>
      </w:r>
      <w:r w:rsidRPr="00896261">
        <w:rPr>
          <w:rFonts w:ascii="Cambria" w:hAnsi="Cambria"/>
          <w:lang w:eastAsia="de-AT"/>
        </w:rPr>
        <w:t xml:space="preserve">nouvelles connaissances transmises par le formateur peuvent être </w:t>
      </w:r>
      <w:r w:rsidR="00201019">
        <w:rPr>
          <w:rFonts w:ascii="Cambria" w:hAnsi="Cambria"/>
          <w:lang w:eastAsia="de-AT"/>
        </w:rPr>
        <w:t>acquises</w:t>
      </w:r>
      <w:r w:rsidRPr="00896261">
        <w:rPr>
          <w:rFonts w:ascii="Cambria" w:hAnsi="Cambria"/>
          <w:lang w:eastAsia="de-AT"/>
        </w:rPr>
        <w:t xml:space="preserve"> et structurées d'une façon différente. Il est également conçu pour encourager les apprenants en général à faire des recherches sur des questions ouvertes (sur Internet) et à rester ouverts au thème de la </w:t>
      </w:r>
      <w:r w:rsidR="009F370F">
        <w:rPr>
          <w:rFonts w:ascii="Cambria" w:hAnsi="Cambria"/>
          <w:lang w:eastAsia="de-AT"/>
        </w:rPr>
        <w:t>soutenabilité</w:t>
      </w:r>
      <w:r w:rsidRPr="00896261">
        <w:rPr>
          <w:rFonts w:ascii="Cambria" w:hAnsi="Cambria"/>
          <w:lang w:eastAsia="de-AT"/>
        </w:rPr>
        <w:t xml:space="preserve"> dans les pratiques de vie personnelle et professionnelle.</w:t>
      </w:r>
    </w:p>
    <w:p w:rsidR="00896261" w:rsidRPr="00896261" w:rsidRDefault="00896261" w:rsidP="00896261">
      <w:pPr>
        <w:spacing w:after="120"/>
        <w:ind w:left="360"/>
        <w:rPr>
          <w:rFonts w:ascii="Cambria" w:hAnsi="Cambria"/>
          <w:lang w:eastAsia="de-AT"/>
        </w:rPr>
      </w:pPr>
    </w:p>
    <w:p w:rsidR="000B06B2" w:rsidRPr="00896261" w:rsidRDefault="000B06B2" w:rsidP="000B06B2">
      <w:pPr>
        <w:pStyle w:val="Listenabsatz"/>
        <w:spacing w:after="120"/>
        <w:ind w:left="714"/>
        <w:contextualSpacing w:val="0"/>
        <w:rPr>
          <w:rFonts w:ascii="Cambria" w:hAnsi="Cambria"/>
          <w:b/>
          <w:lang w:eastAsia="de-AT"/>
        </w:rPr>
      </w:pPr>
    </w:p>
    <w:p w:rsidR="00727409" w:rsidRDefault="00744BAF" w:rsidP="00A12C20">
      <w:pPr>
        <w:pStyle w:val="Listenabsatz"/>
        <w:numPr>
          <w:ilvl w:val="0"/>
          <w:numId w:val="8"/>
        </w:numPr>
        <w:spacing w:after="120" w:line="240" w:lineRule="auto"/>
        <w:jc w:val="both"/>
        <w:rPr>
          <w:rFonts w:ascii="Cambria" w:hAnsi="Cambria"/>
        </w:rPr>
      </w:pPr>
      <w:r w:rsidRPr="00744BAF">
        <w:rPr>
          <w:rFonts w:ascii="Cambria" w:hAnsi="Cambria"/>
        </w:rPr>
        <w:t xml:space="preserve">De l'avis du BFI OOE, il est important de mettre en œuvre avec succès des pratiques pédagogiques d'EDD qui mettent l'accent sur la centralité de l'apprenant et sur le renforcement des compétences, </w:t>
      </w:r>
      <w:r w:rsidR="009F370F">
        <w:rPr>
          <w:rFonts w:ascii="Cambria" w:hAnsi="Cambria"/>
        </w:rPr>
        <w:t>tout en s’appuyant</w:t>
      </w:r>
      <w:r w:rsidRPr="00744BAF">
        <w:rPr>
          <w:rFonts w:ascii="Cambria" w:hAnsi="Cambria"/>
        </w:rPr>
        <w:t xml:space="preserve"> sur les compétences déjà existantes. Cette approche met l'accent sur le renforcement de l'autonomie de la pensée, la réflexion, la remise en question des paradigmes traditionnels d'apprentissage et d'enseignement, le questionnement, la recherche personnelle et la recherche sur les questions existantes et, en général, concentre et encourage une approche qui motive, (auto-)responsabilise l'apprenant et l'invite à prendre en charge son processus</w:t>
      </w:r>
      <w:r w:rsidR="009F370F">
        <w:rPr>
          <w:rFonts w:ascii="Cambria" w:hAnsi="Cambria"/>
        </w:rPr>
        <w:t xml:space="preserve"> d’apprentissage tout en amenant à une réflexion plus large sur ses pratiques quotidiennes</w:t>
      </w:r>
      <w:r w:rsidRPr="00744BAF">
        <w:rPr>
          <w:rFonts w:ascii="Cambria" w:hAnsi="Cambria"/>
        </w:rPr>
        <w:t xml:space="preserve">. Le changement ne peut se produire que si les gens </w:t>
      </w:r>
      <w:r w:rsidR="009F370F">
        <w:rPr>
          <w:rFonts w:ascii="Cambria" w:hAnsi="Cambria"/>
        </w:rPr>
        <w:t>prennent davantage c</w:t>
      </w:r>
      <w:r w:rsidRPr="00744BAF">
        <w:rPr>
          <w:rFonts w:ascii="Cambria" w:hAnsi="Cambria"/>
        </w:rPr>
        <w:t>onscience, définissent des champs d'action et assument la responsabilité de leurs propres actions et pratiques de vie et de travail. Le changement ne vient jamais de l'extérieur</w:t>
      </w:r>
      <w:r w:rsidR="000D1E62">
        <w:rPr>
          <w:rFonts w:ascii="Cambria" w:hAnsi="Cambria"/>
        </w:rPr>
        <w:t xml:space="preserve"> mais</w:t>
      </w:r>
      <w:r w:rsidRPr="00744BAF">
        <w:rPr>
          <w:rFonts w:ascii="Cambria" w:hAnsi="Cambria"/>
        </w:rPr>
        <w:t xml:space="preserve"> commence par soi-même. C'est l'objectif </w:t>
      </w:r>
      <w:r w:rsidR="000D1E62">
        <w:rPr>
          <w:rFonts w:ascii="Cambria" w:hAnsi="Cambria"/>
        </w:rPr>
        <w:t>de l'éducation en matière d'EDD : e</w:t>
      </w:r>
      <w:r w:rsidRPr="00744BAF">
        <w:rPr>
          <w:rFonts w:ascii="Cambria" w:hAnsi="Cambria"/>
        </w:rPr>
        <w:t>n</w:t>
      </w:r>
      <w:r w:rsidR="000D1E62">
        <w:rPr>
          <w:rFonts w:ascii="Cambria" w:hAnsi="Cambria"/>
        </w:rPr>
        <w:t xml:space="preserve"> favorisant une prise de conscience chez</w:t>
      </w:r>
      <w:r w:rsidRPr="00744BAF">
        <w:rPr>
          <w:rFonts w:ascii="Cambria" w:hAnsi="Cambria"/>
        </w:rPr>
        <w:t xml:space="preserve"> les apprenants</w:t>
      </w:r>
      <w:r w:rsidR="000D1E62">
        <w:rPr>
          <w:rFonts w:ascii="Cambria" w:hAnsi="Cambria"/>
        </w:rPr>
        <w:t>, ces derniers</w:t>
      </w:r>
      <w:r w:rsidRPr="00744BAF">
        <w:rPr>
          <w:rFonts w:ascii="Cambria" w:hAnsi="Cambria"/>
        </w:rPr>
        <w:t xml:space="preserve"> sont habilités à prendre des responsabilités et à agir en termes de durabilité. Nous croyons en une approche ascendante et en une éducation durable qui motive l'apprenant à remettre en question, à réfléchir et à prendre de nouvelles conclusions et actions basées sur son propre processus de sensibilisation</w:t>
      </w:r>
      <w:r w:rsidR="000D1E62">
        <w:rPr>
          <w:rFonts w:ascii="Cambria" w:hAnsi="Cambria"/>
        </w:rPr>
        <w:t>. Cette approche éducative est par ailleurs orientée vers un apprentissage visant à une sensibilisation plus profonde et réflexive sur les habitudes des apprenants. P</w:t>
      </w:r>
      <w:r w:rsidRPr="00744BAF">
        <w:rPr>
          <w:rFonts w:ascii="Cambria" w:hAnsi="Cambria"/>
        </w:rPr>
        <w:t xml:space="preserve">ar conséquent, les résultats ne sont pas mesurables à court terme, mais plutôt sur le long terme. </w:t>
      </w:r>
    </w:p>
    <w:p w:rsidR="00A12C20" w:rsidRPr="00A12C20" w:rsidRDefault="00A12C20" w:rsidP="00A12C20">
      <w:pPr>
        <w:pStyle w:val="Listenabsatz"/>
        <w:spacing w:after="120" w:line="240" w:lineRule="auto"/>
        <w:ind w:left="360"/>
        <w:jc w:val="both"/>
        <w:rPr>
          <w:rFonts w:ascii="Cambria" w:hAnsi="Cambria"/>
        </w:rPr>
      </w:pPr>
    </w:p>
    <w:p w:rsidR="00A12C20" w:rsidRPr="00F34DA1" w:rsidRDefault="00C17401" w:rsidP="00A12C20">
      <w:pPr>
        <w:pStyle w:val="Listenabsatz"/>
        <w:numPr>
          <w:ilvl w:val="0"/>
          <w:numId w:val="8"/>
        </w:numPr>
        <w:spacing w:after="120" w:line="240" w:lineRule="auto"/>
        <w:contextualSpacing w:val="0"/>
        <w:jc w:val="both"/>
        <w:rPr>
          <w:rFonts w:ascii="Cambria" w:hAnsi="Cambria"/>
        </w:rPr>
      </w:pPr>
      <w:r w:rsidRPr="00F600D3">
        <w:rPr>
          <w:rFonts w:ascii="Cambria" w:hAnsi="Cambria"/>
        </w:rPr>
        <w:t>Le contenu des REL peut être facilement manipulé</w:t>
      </w:r>
      <w:r w:rsidR="00744BAF" w:rsidRPr="00F600D3">
        <w:rPr>
          <w:rFonts w:ascii="Cambria" w:hAnsi="Cambria"/>
        </w:rPr>
        <w:t xml:space="preserve"> p</w:t>
      </w:r>
      <w:r w:rsidR="003A4915" w:rsidRPr="00F600D3">
        <w:rPr>
          <w:rFonts w:ascii="Cambria" w:hAnsi="Cambria"/>
        </w:rPr>
        <w:t>ar les enseignants parce qu</w:t>
      </w:r>
      <w:r w:rsidR="004C63C4" w:rsidRPr="00F600D3">
        <w:rPr>
          <w:rFonts w:ascii="Cambria" w:hAnsi="Cambria"/>
        </w:rPr>
        <w:t>e ces dernières</w:t>
      </w:r>
      <w:r w:rsidR="003A4915" w:rsidRPr="00F600D3">
        <w:rPr>
          <w:rFonts w:ascii="Cambria" w:hAnsi="Cambria"/>
        </w:rPr>
        <w:t xml:space="preserve"> proposent un déroulement étape par étape. L</w:t>
      </w:r>
      <w:r w:rsidR="004C63C4" w:rsidRPr="00F600D3">
        <w:rPr>
          <w:rFonts w:ascii="Cambria" w:hAnsi="Cambria"/>
        </w:rPr>
        <w:t>es</w:t>
      </w:r>
      <w:r w:rsidR="00744BAF" w:rsidRPr="00F600D3">
        <w:rPr>
          <w:rFonts w:ascii="Cambria" w:hAnsi="Cambria"/>
        </w:rPr>
        <w:t xml:space="preserve"> REL</w:t>
      </w:r>
      <w:r w:rsidR="004C63C4" w:rsidRPr="00F600D3">
        <w:rPr>
          <w:rFonts w:ascii="Cambria" w:hAnsi="Cambria"/>
        </w:rPr>
        <w:t xml:space="preserve"> proposées</w:t>
      </w:r>
      <w:r w:rsidR="00744BAF" w:rsidRPr="00F600D3">
        <w:rPr>
          <w:rFonts w:ascii="Cambria" w:hAnsi="Cambria"/>
        </w:rPr>
        <w:t xml:space="preserve"> offre</w:t>
      </w:r>
      <w:r w:rsidR="004C63C4" w:rsidRPr="00F600D3">
        <w:rPr>
          <w:rFonts w:ascii="Cambria" w:hAnsi="Cambria"/>
        </w:rPr>
        <w:t>nt</w:t>
      </w:r>
      <w:r w:rsidR="00744BAF" w:rsidRPr="00F600D3">
        <w:rPr>
          <w:rFonts w:ascii="Cambria" w:hAnsi="Cambria"/>
        </w:rPr>
        <w:t xml:space="preserve"> aux enseignants la possibilité </w:t>
      </w:r>
      <w:r w:rsidR="004C63C4" w:rsidRPr="00F600D3">
        <w:rPr>
          <w:rFonts w:ascii="Cambria" w:hAnsi="Cambria"/>
        </w:rPr>
        <w:t>de solliciter</w:t>
      </w:r>
      <w:r w:rsidR="00744BAF" w:rsidRPr="00F600D3">
        <w:rPr>
          <w:rFonts w:ascii="Cambria" w:hAnsi="Cambria"/>
        </w:rPr>
        <w:t xml:space="preserve"> les apprenants </w:t>
      </w:r>
      <w:r w:rsidRPr="00F600D3">
        <w:rPr>
          <w:rFonts w:ascii="Cambria" w:hAnsi="Cambria"/>
        </w:rPr>
        <w:t>sur leurs propres</w:t>
      </w:r>
      <w:r w:rsidR="00744BAF" w:rsidRPr="00F600D3">
        <w:rPr>
          <w:rFonts w:ascii="Cambria" w:hAnsi="Cambria"/>
        </w:rPr>
        <w:t xml:space="preserve"> connaissances </w:t>
      </w:r>
      <w:r w:rsidRPr="00F600D3">
        <w:rPr>
          <w:rFonts w:ascii="Cambria" w:hAnsi="Cambria"/>
        </w:rPr>
        <w:t>du</w:t>
      </w:r>
      <w:r w:rsidR="00744BAF" w:rsidRPr="00F600D3">
        <w:rPr>
          <w:rFonts w:ascii="Cambria" w:hAnsi="Cambria"/>
        </w:rPr>
        <w:t xml:space="preserve"> sujet, </w:t>
      </w:r>
      <w:r w:rsidR="004C63C4" w:rsidRPr="00F600D3">
        <w:rPr>
          <w:rFonts w:ascii="Cambria" w:hAnsi="Cambria"/>
        </w:rPr>
        <w:t xml:space="preserve">une approche qui se veut </w:t>
      </w:r>
      <w:r w:rsidR="00744BAF" w:rsidRPr="00F600D3">
        <w:rPr>
          <w:rFonts w:ascii="Cambria" w:hAnsi="Cambria"/>
        </w:rPr>
        <w:t>plus large que ce que le formateur/enseignant enseign</w:t>
      </w:r>
      <w:r w:rsidR="004C63C4" w:rsidRPr="00F600D3">
        <w:rPr>
          <w:rFonts w:ascii="Cambria" w:hAnsi="Cambria"/>
        </w:rPr>
        <w:t xml:space="preserve">era explicitement aux apprenants. Cette approche </w:t>
      </w:r>
      <w:r w:rsidRPr="00F600D3">
        <w:rPr>
          <w:rFonts w:ascii="Cambria" w:hAnsi="Cambria"/>
        </w:rPr>
        <w:t>permet</w:t>
      </w:r>
      <w:r w:rsidR="00744BAF" w:rsidRPr="00F600D3">
        <w:rPr>
          <w:rFonts w:ascii="Cambria" w:hAnsi="Cambria"/>
        </w:rPr>
        <w:t xml:space="preserve"> au formateur/enseignant </w:t>
      </w:r>
      <w:r w:rsidRPr="00F600D3">
        <w:rPr>
          <w:rFonts w:ascii="Cambria" w:hAnsi="Cambria"/>
        </w:rPr>
        <w:t xml:space="preserve">d’avoir </w:t>
      </w:r>
      <w:r w:rsidR="00744BAF" w:rsidRPr="00F600D3">
        <w:rPr>
          <w:rFonts w:ascii="Cambria" w:hAnsi="Cambria"/>
        </w:rPr>
        <w:t xml:space="preserve">une connaissance de base implicite </w:t>
      </w:r>
      <w:r w:rsidRPr="00F600D3">
        <w:rPr>
          <w:rFonts w:ascii="Cambria" w:hAnsi="Cambria"/>
        </w:rPr>
        <w:t>à laquelle il/elle va pouvoir ajouter t</w:t>
      </w:r>
      <w:r w:rsidR="00744BAF" w:rsidRPr="00F600D3">
        <w:rPr>
          <w:rFonts w:ascii="Cambria" w:hAnsi="Cambria"/>
        </w:rPr>
        <w:t xml:space="preserve">out apport et contribution venant des apprenants sur le sujet par les tâches individuelles et collectives. Le contenu des REL </w:t>
      </w:r>
      <w:r w:rsidRPr="00F600D3">
        <w:rPr>
          <w:rFonts w:ascii="Cambria" w:hAnsi="Cambria"/>
        </w:rPr>
        <w:t>évolue progressivement de tâches et concepts</w:t>
      </w:r>
      <w:r w:rsidR="00744BAF" w:rsidRPr="00F600D3">
        <w:rPr>
          <w:rFonts w:ascii="Cambria" w:hAnsi="Cambria"/>
        </w:rPr>
        <w:t xml:space="preserve"> simple</w:t>
      </w:r>
      <w:r w:rsidRPr="00F600D3">
        <w:rPr>
          <w:rFonts w:ascii="Cambria" w:hAnsi="Cambria"/>
        </w:rPr>
        <w:t>s à davantage de complexité</w:t>
      </w:r>
      <w:r w:rsidR="00744BAF" w:rsidRPr="00F600D3">
        <w:rPr>
          <w:rFonts w:ascii="Cambria" w:hAnsi="Cambria"/>
        </w:rPr>
        <w:t xml:space="preserve">. </w:t>
      </w:r>
      <w:r w:rsidR="00716FFA" w:rsidRPr="00F600D3">
        <w:rPr>
          <w:rFonts w:ascii="Cambria" w:hAnsi="Cambria"/>
        </w:rPr>
        <w:t>L</w:t>
      </w:r>
      <w:r w:rsidR="00744BAF" w:rsidRPr="00F600D3">
        <w:rPr>
          <w:rFonts w:ascii="Cambria" w:hAnsi="Cambria"/>
        </w:rPr>
        <w:t>es lignes directrices didactiques</w:t>
      </w:r>
      <w:r w:rsidR="00716FFA" w:rsidRPr="00F600D3">
        <w:rPr>
          <w:rFonts w:ascii="Cambria" w:hAnsi="Cambria"/>
        </w:rPr>
        <w:t xml:space="preserve"> donnent par ailleurs </w:t>
      </w:r>
      <w:r w:rsidR="00744BAF" w:rsidRPr="00F600D3">
        <w:rPr>
          <w:rFonts w:ascii="Cambria" w:hAnsi="Cambria"/>
        </w:rPr>
        <w:t>une description de la façon d'util</w:t>
      </w:r>
      <w:r w:rsidR="00716FFA" w:rsidRPr="00F600D3">
        <w:rPr>
          <w:rFonts w:ascii="Cambria" w:hAnsi="Cambria"/>
        </w:rPr>
        <w:t>iser et de manipuler les REL. Enfin, les REL peuvent</w:t>
      </w:r>
      <w:r w:rsidR="00744BAF" w:rsidRPr="00F600D3">
        <w:rPr>
          <w:rFonts w:ascii="Cambria" w:hAnsi="Cambria"/>
        </w:rPr>
        <w:t xml:space="preserve"> être remixé</w:t>
      </w:r>
      <w:r w:rsidR="00716FFA" w:rsidRPr="00F600D3">
        <w:rPr>
          <w:rFonts w:ascii="Cambria" w:hAnsi="Cambria"/>
        </w:rPr>
        <w:t xml:space="preserve">es pour mieux s’intégrer </w:t>
      </w:r>
      <w:r w:rsidR="00F600D3" w:rsidRPr="00F600D3">
        <w:rPr>
          <w:rFonts w:ascii="Cambria" w:hAnsi="Cambria"/>
        </w:rPr>
        <w:t>au</w:t>
      </w:r>
      <w:r w:rsidR="00744BAF" w:rsidRPr="00F600D3">
        <w:rPr>
          <w:rFonts w:ascii="Cambria" w:hAnsi="Cambria"/>
        </w:rPr>
        <w:t xml:space="preserve"> programme </w:t>
      </w:r>
      <w:r w:rsidR="00F600D3" w:rsidRPr="00F600D3">
        <w:rPr>
          <w:rFonts w:ascii="Cambria" w:hAnsi="Cambria"/>
        </w:rPr>
        <w:t>et au</w:t>
      </w:r>
      <w:r w:rsidR="00744BAF" w:rsidRPr="00F600D3">
        <w:rPr>
          <w:rFonts w:ascii="Cambria" w:hAnsi="Cambria"/>
        </w:rPr>
        <w:t xml:space="preserve"> contexte </w:t>
      </w:r>
      <w:r w:rsidR="00F600D3" w:rsidRPr="00F600D3">
        <w:rPr>
          <w:rFonts w:ascii="Cambria" w:hAnsi="Cambria"/>
        </w:rPr>
        <w:t>d’apprentissage</w:t>
      </w:r>
      <w:r w:rsidR="00744BAF" w:rsidRPr="00F600D3">
        <w:rPr>
          <w:rFonts w:ascii="Cambria" w:hAnsi="Cambria"/>
        </w:rPr>
        <w:t xml:space="preserve"> </w:t>
      </w:r>
      <w:r w:rsidR="00F600D3" w:rsidRPr="00F600D3">
        <w:rPr>
          <w:rFonts w:ascii="Cambria" w:hAnsi="Cambria"/>
        </w:rPr>
        <w:t>pré</w:t>
      </w:r>
      <w:r w:rsidR="00744BAF" w:rsidRPr="00F600D3">
        <w:rPr>
          <w:rFonts w:ascii="Cambria" w:hAnsi="Cambria"/>
        </w:rPr>
        <w:t xml:space="preserve">existant. </w:t>
      </w:r>
    </w:p>
    <w:p w:rsidR="00A12C20" w:rsidRDefault="00166305" w:rsidP="00F34DA1">
      <w:pPr>
        <w:pStyle w:val="Listenabsatz"/>
        <w:numPr>
          <w:ilvl w:val="0"/>
          <w:numId w:val="8"/>
        </w:numPr>
        <w:spacing w:after="120" w:line="240" w:lineRule="auto"/>
        <w:jc w:val="both"/>
        <w:rPr>
          <w:rFonts w:ascii="Cambria" w:hAnsi="Cambria"/>
        </w:rPr>
      </w:pPr>
      <w:r>
        <w:rPr>
          <w:rFonts w:ascii="Cambria" w:hAnsi="Cambria"/>
        </w:rPr>
        <w:t>La</w:t>
      </w:r>
      <w:r w:rsidR="00744BAF" w:rsidRPr="00744BAF">
        <w:rPr>
          <w:rFonts w:ascii="Cambria" w:hAnsi="Cambria"/>
        </w:rPr>
        <w:t xml:space="preserve"> RE</w:t>
      </w:r>
      <w:r w:rsidR="00727409">
        <w:rPr>
          <w:rFonts w:ascii="Cambria" w:hAnsi="Cambria"/>
        </w:rPr>
        <w:t>L peut être facilement utilisée</w:t>
      </w:r>
      <w:r w:rsidR="00744BAF" w:rsidRPr="00744BAF">
        <w:rPr>
          <w:rFonts w:ascii="Cambria" w:hAnsi="Cambria"/>
        </w:rPr>
        <w:t xml:space="preserve"> dans différents pays. Les </w:t>
      </w:r>
      <w:r w:rsidR="00727409">
        <w:rPr>
          <w:rFonts w:ascii="Cambria" w:hAnsi="Cambria"/>
        </w:rPr>
        <w:t>documents</w:t>
      </w:r>
      <w:r w:rsidR="00744BAF" w:rsidRPr="00744BAF">
        <w:rPr>
          <w:rFonts w:ascii="Cambria" w:hAnsi="Cambria"/>
        </w:rPr>
        <w:t xml:space="preserve"> sont en </w:t>
      </w:r>
      <w:r w:rsidR="00727409">
        <w:rPr>
          <w:rFonts w:ascii="Cambria" w:hAnsi="Cambria"/>
        </w:rPr>
        <w:t>anglais et peuvent être traduits dans n'importe quelle langue. S</w:t>
      </w:r>
      <w:r w:rsidR="00744BAF" w:rsidRPr="00744BAF">
        <w:rPr>
          <w:rFonts w:ascii="Cambria" w:hAnsi="Cambria"/>
        </w:rPr>
        <w:t xml:space="preserve">eule la partie / REL sur la logistique durable / transport et environnement est en </w:t>
      </w:r>
      <w:r w:rsidR="00727409">
        <w:rPr>
          <w:rFonts w:ascii="Cambria" w:hAnsi="Cambria"/>
        </w:rPr>
        <w:t>allemand, mais elle</w:t>
      </w:r>
      <w:r w:rsidR="00744BAF" w:rsidRPr="00744BAF">
        <w:rPr>
          <w:rFonts w:ascii="Cambria" w:hAnsi="Cambria"/>
        </w:rPr>
        <w:t xml:space="preserve"> peut être traduite dans n'importe quelle langue. </w:t>
      </w:r>
      <w:r w:rsidR="00727409">
        <w:rPr>
          <w:rFonts w:ascii="Cambria" w:hAnsi="Cambria"/>
        </w:rPr>
        <w:t xml:space="preserve">Le volet </w:t>
      </w:r>
      <w:r w:rsidR="00744BAF" w:rsidRPr="00744BAF">
        <w:rPr>
          <w:rFonts w:ascii="Cambria" w:hAnsi="Cambria"/>
        </w:rPr>
        <w:t>Coopération comporte une dimension nationale, c’est pourquoi il est recommandé de l'adapter</w:t>
      </w:r>
      <w:r w:rsidR="00727409">
        <w:rPr>
          <w:rFonts w:ascii="Cambria" w:hAnsi="Cambria"/>
        </w:rPr>
        <w:t xml:space="preserve"> à chaque contexte</w:t>
      </w:r>
      <w:r w:rsidR="00744BAF" w:rsidRPr="00744BAF">
        <w:rPr>
          <w:rFonts w:ascii="Cambria" w:hAnsi="Cambria"/>
        </w:rPr>
        <w:t>.</w:t>
      </w:r>
    </w:p>
    <w:p w:rsidR="00F34DA1" w:rsidRPr="00F34DA1" w:rsidRDefault="00F34DA1" w:rsidP="00F34DA1">
      <w:pPr>
        <w:pStyle w:val="Listenabsatz"/>
        <w:spacing w:after="120" w:line="240" w:lineRule="auto"/>
        <w:ind w:left="360"/>
        <w:jc w:val="both"/>
        <w:rPr>
          <w:rFonts w:ascii="Cambria" w:hAnsi="Cambria"/>
        </w:rPr>
      </w:pPr>
    </w:p>
    <w:p w:rsidR="00407EE2" w:rsidRPr="00E379A4" w:rsidRDefault="00407EE2" w:rsidP="00F34DA1">
      <w:pPr>
        <w:pStyle w:val="Listenabsatz"/>
        <w:numPr>
          <w:ilvl w:val="0"/>
          <w:numId w:val="8"/>
        </w:numPr>
        <w:spacing w:after="120" w:line="240" w:lineRule="auto"/>
        <w:jc w:val="both"/>
        <w:rPr>
          <w:rFonts w:ascii="Cambria" w:hAnsi="Cambria"/>
          <w:color w:val="FF0000"/>
        </w:rPr>
      </w:pPr>
      <w:r w:rsidRPr="00F34DA1">
        <w:rPr>
          <w:rFonts w:ascii="Cambria" w:hAnsi="Cambria"/>
        </w:rPr>
        <w:t xml:space="preserve">Les résultats de la recherche documentaire effectuée en Autriche pour le compte des REL sur le contenu relatif à l'EDD dans le secteur de la logistique de l'EFP au début du projet GreenSkills4VET </w:t>
      </w:r>
      <w:r w:rsidR="00A12C20" w:rsidRPr="00F34DA1">
        <w:rPr>
          <w:rFonts w:ascii="Cambria" w:hAnsi="Cambria"/>
        </w:rPr>
        <w:t>ont souligné de nombreuses lacunes</w:t>
      </w:r>
      <w:r w:rsidRPr="00F34DA1">
        <w:rPr>
          <w:rFonts w:ascii="Cambria" w:hAnsi="Cambria"/>
        </w:rPr>
        <w:t xml:space="preserve">. Le développement durable et la logistique durable ne sont pas explicitement traités, en particulier dans le programme de formation logistique de la formation professionnelle. (Après </w:t>
      </w:r>
      <w:r w:rsidR="00A12C20" w:rsidRPr="00F34DA1">
        <w:rPr>
          <w:rFonts w:ascii="Cambria" w:hAnsi="Cambria"/>
        </w:rPr>
        <w:t>des entretiens réalisés</w:t>
      </w:r>
      <w:r w:rsidRPr="00F34DA1">
        <w:rPr>
          <w:rFonts w:ascii="Cambria" w:hAnsi="Cambria"/>
        </w:rPr>
        <w:t xml:space="preserve"> avec des formateurs du secteur de la logistique à qui </w:t>
      </w:r>
      <w:r w:rsidR="00A12C20" w:rsidRPr="00F34DA1">
        <w:rPr>
          <w:rFonts w:ascii="Cambria" w:hAnsi="Cambria"/>
        </w:rPr>
        <w:t>ont été</w:t>
      </w:r>
      <w:r w:rsidRPr="00F34DA1">
        <w:rPr>
          <w:rFonts w:ascii="Cambria" w:hAnsi="Cambria"/>
        </w:rPr>
        <w:t xml:space="preserve"> présenté</w:t>
      </w:r>
      <w:r w:rsidR="00A12C20" w:rsidRPr="00F34DA1">
        <w:rPr>
          <w:rFonts w:ascii="Cambria" w:hAnsi="Cambria"/>
        </w:rPr>
        <w:t>es</w:t>
      </w:r>
      <w:r w:rsidRPr="00F34DA1">
        <w:rPr>
          <w:rFonts w:ascii="Cambria" w:hAnsi="Cambria"/>
        </w:rPr>
        <w:t xml:space="preserve"> les REL</w:t>
      </w:r>
      <w:r w:rsidR="00A12C20" w:rsidRPr="00F34DA1">
        <w:rPr>
          <w:rFonts w:ascii="Cambria" w:hAnsi="Cambria"/>
        </w:rPr>
        <w:t>, ces derniers ont</w:t>
      </w:r>
      <w:r w:rsidRPr="00F34DA1">
        <w:rPr>
          <w:rFonts w:ascii="Cambria" w:hAnsi="Cambria"/>
        </w:rPr>
        <w:t xml:space="preserve"> mentionné que, </w:t>
      </w:r>
      <w:r w:rsidR="00A12C20" w:rsidRPr="00F34DA1">
        <w:rPr>
          <w:rFonts w:ascii="Cambria" w:hAnsi="Cambria"/>
        </w:rPr>
        <w:t>en fonction du niveau de</w:t>
      </w:r>
      <w:r w:rsidRPr="00F34DA1">
        <w:rPr>
          <w:rFonts w:ascii="Cambria" w:hAnsi="Cambria"/>
        </w:rPr>
        <w:t xml:space="preserve"> conscience et la préparation des formateurs, ceux-ci traiteraient implicitement la durabilité et la logistique durable). Cependant, en faisant la </w:t>
      </w:r>
      <w:r w:rsidRPr="00F34DA1">
        <w:rPr>
          <w:rFonts w:ascii="Cambria" w:hAnsi="Cambria"/>
        </w:rPr>
        <w:lastRenderedPageBreak/>
        <w:t>recherche pour</w:t>
      </w:r>
      <w:r w:rsidR="00A12C20" w:rsidRPr="00F34DA1">
        <w:rPr>
          <w:rFonts w:ascii="Cambria" w:hAnsi="Cambria"/>
        </w:rPr>
        <w:t xml:space="preserve"> le rapport</w:t>
      </w:r>
      <w:r w:rsidRPr="00F34DA1">
        <w:rPr>
          <w:rFonts w:ascii="Cambria" w:hAnsi="Cambria"/>
        </w:rPr>
        <w:t xml:space="preserve"> I04 </w:t>
      </w:r>
      <w:r w:rsidR="00A12C20" w:rsidRPr="00F34DA1">
        <w:rPr>
          <w:rFonts w:ascii="Cambria" w:hAnsi="Cambria"/>
        </w:rPr>
        <w:t>et en développant nos Ressources Educatives Libres,</w:t>
      </w:r>
      <w:r w:rsidRPr="00F34DA1">
        <w:rPr>
          <w:rFonts w:ascii="Cambria" w:hAnsi="Cambria"/>
        </w:rPr>
        <w:t xml:space="preserve"> nous avons trouvé </w:t>
      </w:r>
      <w:r w:rsidR="00A12C20" w:rsidRPr="00F34DA1">
        <w:rPr>
          <w:rFonts w:ascii="Cambria" w:hAnsi="Cambria"/>
        </w:rPr>
        <w:t>du</w:t>
      </w:r>
      <w:r w:rsidRPr="00F34DA1">
        <w:rPr>
          <w:rFonts w:ascii="Cambria" w:hAnsi="Cambria"/>
        </w:rPr>
        <w:t xml:space="preserve"> matériel didactique REL </w:t>
      </w:r>
      <w:r w:rsidR="00A12C20" w:rsidRPr="00F34DA1">
        <w:rPr>
          <w:rFonts w:ascii="Cambria" w:hAnsi="Cambria"/>
        </w:rPr>
        <w:t>pertinent en matière de</w:t>
      </w:r>
      <w:r w:rsidRPr="00F34DA1">
        <w:rPr>
          <w:rFonts w:ascii="Cambria" w:hAnsi="Cambria"/>
        </w:rPr>
        <w:t xml:space="preserve"> logistique durable </w:t>
      </w:r>
      <w:r w:rsidR="00A12C20" w:rsidRPr="00F34DA1">
        <w:rPr>
          <w:rFonts w:ascii="Cambria" w:hAnsi="Cambria"/>
        </w:rPr>
        <w:t xml:space="preserve">et convenant à l’apprentissage </w:t>
      </w:r>
      <w:r w:rsidRPr="00F34DA1">
        <w:rPr>
          <w:rFonts w:ascii="Cambria" w:hAnsi="Cambria"/>
        </w:rPr>
        <w:t xml:space="preserve">dans une école technique supérieure avec différents </w:t>
      </w:r>
      <w:r w:rsidR="00F34DA1" w:rsidRPr="00F34DA1">
        <w:rPr>
          <w:rFonts w:ascii="Cambria" w:hAnsi="Cambria"/>
        </w:rPr>
        <w:t>packages</w:t>
      </w:r>
      <w:r w:rsidR="00A12C20" w:rsidRPr="00F34DA1">
        <w:rPr>
          <w:rFonts w:ascii="Cambria" w:hAnsi="Cambria"/>
        </w:rPr>
        <w:t xml:space="preserve"> de matériel </w:t>
      </w:r>
      <w:r w:rsidRPr="00F34DA1">
        <w:rPr>
          <w:rFonts w:ascii="Cambria" w:hAnsi="Cambria"/>
        </w:rPr>
        <w:t>didactique en allemand :</w:t>
      </w:r>
    </w:p>
    <w:p w:rsidR="000B06B2" w:rsidRPr="00E379A4" w:rsidRDefault="0082108B" w:rsidP="00407EE2">
      <w:pPr>
        <w:pStyle w:val="Listenabsatz"/>
        <w:spacing w:after="120"/>
        <w:ind w:left="360"/>
        <w:contextualSpacing w:val="0"/>
        <w:jc w:val="both"/>
        <w:rPr>
          <w:rStyle w:val="Hyperlink"/>
          <w:rFonts w:ascii="Cambria" w:hAnsi="Cambria" w:cstheme="minorHAnsi"/>
        </w:rPr>
      </w:pPr>
      <w:hyperlink r:id="rId8" w:history="1">
        <w:r w:rsidR="000B06B2" w:rsidRPr="00E379A4">
          <w:rPr>
            <w:rStyle w:val="Hyperlink"/>
            <w:rFonts w:ascii="Cambria" w:hAnsi="Cambria" w:cstheme="minorHAnsi"/>
          </w:rPr>
          <w:t>http://www.reecotrans.at/de/lehrmittel/pakete/</w:t>
        </w:r>
      </w:hyperlink>
      <w:r w:rsidR="000B06B2" w:rsidRPr="00E379A4">
        <w:rPr>
          <w:rStyle w:val="Hyperlink"/>
          <w:rFonts w:ascii="Cambria" w:hAnsi="Cambria" w:cstheme="minorHAnsi"/>
        </w:rPr>
        <w:t>.</w:t>
      </w:r>
    </w:p>
    <w:p w:rsidR="000B06B2" w:rsidRPr="00585281" w:rsidRDefault="001809CB" w:rsidP="00585281">
      <w:pPr>
        <w:spacing w:after="120"/>
        <w:ind w:left="360"/>
        <w:jc w:val="both"/>
        <w:rPr>
          <w:rFonts w:ascii="Cambria" w:hAnsi="Cambria" w:cstheme="minorHAnsi"/>
          <w:lang w:eastAsia="de-AT"/>
        </w:rPr>
      </w:pPr>
      <w:r w:rsidRPr="00585281">
        <w:rPr>
          <w:rFonts w:ascii="Cambria" w:hAnsi="Cambria" w:cstheme="minorHAnsi"/>
          <w:lang w:eastAsia="de-AT"/>
        </w:rPr>
        <w:t xml:space="preserve">En outre, nous avons </w:t>
      </w:r>
      <w:r w:rsidR="00C93582" w:rsidRPr="00585281">
        <w:rPr>
          <w:rFonts w:ascii="Cambria" w:hAnsi="Cambria" w:cstheme="minorHAnsi"/>
          <w:lang w:eastAsia="de-AT"/>
        </w:rPr>
        <w:t>sélectionné</w:t>
      </w:r>
      <w:r w:rsidRPr="00585281">
        <w:rPr>
          <w:rFonts w:ascii="Cambria" w:hAnsi="Cambria" w:cstheme="minorHAnsi"/>
          <w:lang w:eastAsia="de-AT"/>
        </w:rPr>
        <w:t xml:space="preserve"> différentes vidéos examinant </w:t>
      </w:r>
      <w:r w:rsidR="00585281" w:rsidRPr="00585281">
        <w:rPr>
          <w:rFonts w:ascii="Cambria" w:hAnsi="Cambria" w:cstheme="minorHAnsi"/>
          <w:lang w:eastAsia="de-AT"/>
        </w:rPr>
        <w:t>plusieurs</w:t>
      </w:r>
      <w:r w:rsidRPr="00585281">
        <w:rPr>
          <w:rFonts w:ascii="Cambria" w:hAnsi="Cambria" w:cstheme="minorHAnsi"/>
          <w:lang w:eastAsia="de-AT"/>
        </w:rPr>
        <w:t xml:space="preserve"> aspects de la logistique d</w:t>
      </w:r>
      <w:r w:rsidR="00585281" w:rsidRPr="00585281">
        <w:rPr>
          <w:rFonts w:ascii="Cambria" w:hAnsi="Cambria" w:cstheme="minorHAnsi"/>
          <w:lang w:eastAsia="de-AT"/>
        </w:rPr>
        <w:t>urable qui peuvent être mobilisé</w:t>
      </w:r>
      <w:r w:rsidRPr="00585281">
        <w:rPr>
          <w:rFonts w:ascii="Cambria" w:hAnsi="Cambria" w:cstheme="minorHAnsi"/>
          <w:lang w:eastAsia="de-AT"/>
        </w:rPr>
        <w:t xml:space="preserve">s dans le cadre de </w:t>
      </w:r>
      <w:r w:rsidR="00585281" w:rsidRPr="00585281">
        <w:rPr>
          <w:rFonts w:ascii="Cambria" w:hAnsi="Cambria" w:cstheme="minorHAnsi"/>
          <w:lang w:eastAsia="de-AT"/>
        </w:rPr>
        <w:t xml:space="preserve">la formation professionnelle </w:t>
      </w:r>
      <w:r w:rsidRPr="00585281">
        <w:rPr>
          <w:rFonts w:ascii="Cambria" w:hAnsi="Cambria" w:cstheme="minorHAnsi"/>
          <w:lang w:eastAsia="de-AT"/>
        </w:rPr>
        <w:t>en ma</w:t>
      </w:r>
      <w:r w:rsidR="00585281" w:rsidRPr="00585281">
        <w:rPr>
          <w:rFonts w:ascii="Cambria" w:hAnsi="Cambria" w:cstheme="minorHAnsi"/>
          <w:lang w:eastAsia="de-AT"/>
        </w:rPr>
        <w:t>tière de logistique durable</w:t>
      </w:r>
      <w:r w:rsidRPr="00585281">
        <w:rPr>
          <w:rFonts w:ascii="Cambria" w:hAnsi="Cambria" w:cstheme="minorHAnsi"/>
          <w:lang w:eastAsia="de-AT"/>
        </w:rPr>
        <w:t xml:space="preserve">. </w:t>
      </w:r>
    </w:p>
    <w:p w:rsidR="00585281" w:rsidRDefault="00585281" w:rsidP="00585281">
      <w:pPr>
        <w:ind w:firstLine="360"/>
        <w:jc w:val="both"/>
        <w:rPr>
          <w:rFonts w:ascii="Cambria" w:hAnsi="Cambria"/>
        </w:rPr>
      </w:pPr>
      <w:r w:rsidRPr="00585281">
        <w:rPr>
          <w:rFonts w:ascii="Cambria" w:hAnsi="Cambria"/>
        </w:rPr>
        <w:t xml:space="preserve">Transports et logistique </w:t>
      </w:r>
      <w:r w:rsidR="00C93582" w:rsidRPr="00585281">
        <w:rPr>
          <w:rFonts w:ascii="Cambria" w:hAnsi="Cambria"/>
        </w:rPr>
        <w:t>durable</w:t>
      </w:r>
      <w:r w:rsidR="00C93582">
        <w:rPr>
          <w:rFonts w:ascii="Cambria" w:hAnsi="Cambria"/>
        </w:rPr>
        <w:t>s</w:t>
      </w:r>
      <w:r w:rsidR="00C93582" w:rsidRPr="00585281">
        <w:rPr>
          <w:rFonts w:ascii="Cambria" w:hAnsi="Cambria"/>
        </w:rPr>
        <w:t xml:space="preserve"> :</w:t>
      </w:r>
      <w:r w:rsidRPr="00585281">
        <w:rPr>
          <w:rFonts w:ascii="Cambria" w:hAnsi="Cambria"/>
        </w:rPr>
        <w:t xml:space="preserve"> </w:t>
      </w:r>
    </w:p>
    <w:p w:rsidR="000B06B2" w:rsidRPr="00585281" w:rsidRDefault="0082108B" w:rsidP="00585281">
      <w:pPr>
        <w:ind w:firstLine="360"/>
        <w:jc w:val="both"/>
        <w:rPr>
          <w:rFonts w:ascii="Cambria" w:hAnsi="Cambria"/>
        </w:rPr>
      </w:pPr>
      <w:hyperlink r:id="rId9" w:history="1">
        <w:r w:rsidR="000B06B2" w:rsidRPr="00585281">
          <w:rPr>
            <w:rStyle w:val="Hyperlink"/>
            <w:rFonts w:ascii="Cambria" w:hAnsi="Cambria"/>
          </w:rPr>
          <w:t>https://www.youtube.com/watch?v=XvB9fBnyx94</w:t>
        </w:r>
      </w:hyperlink>
    </w:p>
    <w:p w:rsidR="000B06B2" w:rsidRPr="001809CB" w:rsidRDefault="007A3EC6" w:rsidP="00585281">
      <w:pPr>
        <w:ind w:left="360"/>
        <w:jc w:val="both"/>
        <w:rPr>
          <w:rFonts w:ascii="Cambria" w:hAnsi="Cambria" w:cs="Calibri"/>
          <w:bCs/>
          <w:kern w:val="36"/>
        </w:rPr>
      </w:pPr>
      <w:r w:rsidRPr="001809CB">
        <w:rPr>
          <w:rFonts w:ascii="Cambria" w:hAnsi="Cambria" w:cs="Calibri"/>
          <w:bCs/>
          <w:kern w:val="36"/>
        </w:rPr>
        <w:t xml:space="preserve">Soutenabilité des supply chains à l’ère informationnelle </w:t>
      </w:r>
      <w:r w:rsidR="000B06B2" w:rsidRPr="001809CB">
        <w:rPr>
          <w:rFonts w:ascii="Cambria" w:hAnsi="Cambria" w:cs="Calibri"/>
          <w:bCs/>
          <w:kern w:val="36"/>
        </w:rPr>
        <w:t>| Tom Pathuis | TEDxYouth@Maastricht:</w:t>
      </w:r>
    </w:p>
    <w:p w:rsidR="000B06B2" w:rsidRPr="00E379A4" w:rsidRDefault="0082108B" w:rsidP="00585281">
      <w:pPr>
        <w:ind w:firstLine="360"/>
        <w:jc w:val="both"/>
        <w:rPr>
          <w:rStyle w:val="Hyperlink"/>
          <w:rFonts w:ascii="Cambria" w:hAnsi="Cambria"/>
        </w:rPr>
      </w:pPr>
      <w:hyperlink r:id="rId10" w:history="1">
        <w:r w:rsidR="000B06B2" w:rsidRPr="00E379A4">
          <w:rPr>
            <w:rStyle w:val="Hyperlink"/>
            <w:rFonts w:ascii="Cambria" w:hAnsi="Cambria"/>
          </w:rPr>
          <w:t>https://www.youtube.com/watch?v=zKOkEEmtlIo</w:t>
        </w:r>
      </w:hyperlink>
    </w:p>
    <w:p w:rsidR="000B06B2" w:rsidRPr="00032A42" w:rsidRDefault="000B06B2" w:rsidP="00585281">
      <w:pPr>
        <w:ind w:firstLine="360"/>
        <w:jc w:val="both"/>
        <w:rPr>
          <w:rStyle w:val="Hyperlink"/>
          <w:rFonts w:ascii="Cambria" w:hAnsi="Cambria"/>
          <w:lang w:val="en-GB"/>
        </w:rPr>
      </w:pPr>
      <w:r w:rsidRPr="00032A42">
        <w:rPr>
          <w:rStyle w:val="Hyperlink"/>
          <w:rFonts w:ascii="Cambria" w:hAnsi="Cambria"/>
          <w:lang w:val="en-GB"/>
        </w:rPr>
        <w:t>Sustainability through the supply chain:</w:t>
      </w:r>
    </w:p>
    <w:p w:rsidR="000B06B2" w:rsidRPr="00032A42" w:rsidRDefault="0082108B" w:rsidP="00585281">
      <w:pPr>
        <w:ind w:firstLine="360"/>
        <w:jc w:val="both"/>
        <w:rPr>
          <w:rFonts w:ascii="Cambria" w:hAnsi="Cambria"/>
          <w:lang w:val="en-GB"/>
        </w:rPr>
      </w:pPr>
      <w:hyperlink r:id="rId11" w:history="1">
        <w:r w:rsidR="000B06B2" w:rsidRPr="00032A42">
          <w:rPr>
            <w:rStyle w:val="Hyperlink"/>
            <w:rFonts w:ascii="Cambria" w:hAnsi="Cambria"/>
            <w:lang w:val="en-GB"/>
          </w:rPr>
          <w:t>https://www.youtube.com/watch?v=UsyEHKhCbS0</w:t>
        </w:r>
      </w:hyperlink>
    </w:p>
    <w:p w:rsidR="000B06B2" w:rsidRPr="00585281" w:rsidRDefault="007A3EC6" w:rsidP="00585281">
      <w:pPr>
        <w:ind w:left="360"/>
        <w:jc w:val="both"/>
        <w:rPr>
          <w:rStyle w:val="Hyperlink"/>
          <w:rFonts w:ascii="Cambria" w:hAnsi="Cambria"/>
        </w:rPr>
      </w:pPr>
      <w:r w:rsidRPr="007A3EC6">
        <w:rPr>
          <w:rFonts w:ascii="Cambria" w:hAnsi="Cambria"/>
        </w:rPr>
        <w:t xml:space="preserve">La soutenabilité dans la supply chain. Il s’agit d’un cours sur la supply chain et les moyens d’atteindre une plus grande durabilité dans ses différentes composantes. </w:t>
      </w:r>
      <w:r>
        <w:rPr>
          <w:rFonts w:ascii="Cambria" w:hAnsi="Cambria"/>
        </w:rPr>
        <w:t xml:space="preserve">La supply chain a un rôle majeur dans la soutenabilité d’une entreprise ou d’une activité ! </w:t>
      </w:r>
      <w:hyperlink r:id="rId12" w:history="1">
        <w:r w:rsidR="000B06B2" w:rsidRPr="00585281">
          <w:rPr>
            <w:rStyle w:val="Hyperlink"/>
            <w:rFonts w:ascii="Cambria" w:hAnsi="Cambria"/>
          </w:rPr>
          <w:t>https://www.youtube.com/watch?v=x0d8sfl1tq4</w:t>
        </w:r>
      </w:hyperlink>
    </w:p>
    <w:p w:rsidR="000B06B2" w:rsidRPr="007A3EC6" w:rsidRDefault="007A3EC6" w:rsidP="00585281">
      <w:pPr>
        <w:ind w:left="360"/>
        <w:jc w:val="both"/>
        <w:rPr>
          <w:rStyle w:val="Hyperlink"/>
          <w:rFonts w:ascii="Cambria" w:hAnsi="Cambria" w:cstheme="minorHAnsi"/>
        </w:rPr>
      </w:pPr>
      <w:r w:rsidRPr="007A3EC6">
        <w:rPr>
          <w:rStyle w:val="Hyperlink"/>
          <w:rFonts w:ascii="Cambria" w:hAnsi="Cambria" w:cstheme="minorHAnsi"/>
          <w:color w:val="auto"/>
          <w:u w:val="none"/>
        </w:rPr>
        <w:t xml:space="preserve">Vidéos en anglais. Ces dernières peuvent servir à illustrer les responsabilités des fournisseurs et entreprises </w:t>
      </w:r>
      <w:r w:rsidR="00871A46" w:rsidRPr="007A3EC6">
        <w:rPr>
          <w:rStyle w:val="Hyperlink"/>
          <w:rFonts w:ascii="Cambria" w:hAnsi="Cambria" w:cstheme="minorHAnsi"/>
          <w:color w:val="auto"/>
          <w:u w:val="none"/>
        </w:rPr>
        <w:t>productrices</w:t>
      </w:r>
      <w:r>
        <w:rPr>
          <w:rStyle w:val="Hyperlink"/>
          <w:rFonts w:ascii="Cambria" w:hAnsi="Cambria" w:cstheme="minorHAnsi"/>
          <w:color w:val="auto"/>
          <w:u w:val="none"/>
        </w:rPr>
        <w:t xml:space="preserve"> en matière environnementale</w:t>
      </w:r>
      <w:r w:rsidRPr="007A3EC6">
        <w:rPr>
          <w:rStyle w:val="Hyperlink"/>
          <w:rFonts w:ascii="Cambria" w:hAnsi="Cambria" w:cstheme="minorHAnsi"/>
          <w:color w:val="auto"/>
          <w:u w:val="none"/>
        </w:rPr>
        <w:t xml:space="preserve"> mais aussi à soulign</w:t>
      </w:r>
      <w:r>
        <w:rPr>
          <w:rStyle w:val="Hyperlink"/>
          <w:rFonts w:ascii="Cambria" w:hAnsi="Cambria" w:cstheme="minorHAnsi"/>
          <w:color w:val="auto"/>
          <w:u w:val="none"/>
        </w:rPr>
        <w:t>er le pouvoir des consommateurs</w:t>
      </w:r>
      <w:r w:rsidRPr="007A3EC6">
        <w:rPr>
          <w:rStyle w:val="Hyperlink"/>
          <w:rFonts w:ascii="Cambria" w:hAnsi="Cambria" w:cstheme="minorHAnsi"/>
          <w:color w:val="auto"/>
          <w:u w:val="none"/>
        </w:rPr>
        <w:t>. La chaîne de responsabilité</w:t>
      </w:r>
      <w:r w:rsidR="001C43F3">
        <w:rPr>
          <w:rStyle w:val="Hyperlink"/>
          <w:rFonts w:ascii="Cambria" w:hAnsi="Cambria" w:cstheme="minorHAnsi"/>
          <w:color w:val="auto"/>
          <w:u w:val="none"/>
        </w:rPr>
        <w:t>s</w:t>
      </w:r>
      <w:r w:rsidR="000B06B2" w:rsidRPr="007A3EC6">
        <w:rPr>
          <w:rFonts w:ascii="Cambria" w:hAnsi="Cambria" w:cstheme="minorHAnsi"/>
          <w:bCs/>
          <w:kern w:val="36"/>
        </w:rPr>
        <w:t>:</w:t>
      </w:r>
    </w:p>
    <w:p w:rsidR="000B06B2" w:rsidRPr="00585281" w:rsidRDefault="0082108B" w:rsidP="00585281">
      <w:pPr>
        <w:ind w:firstLine="360"/>
        <w:jc w:val="both"/>
        <w:rPr>
          <w:rFonts w:ascii="Cambria" w:hAnsi="Cambria"/>
        </w:rPr>
      </w:pPr>
      <w:hyperlink r:id="rId13" w:history="1">
        <w:r w:rsidR="000B06B2" w:rsidRPr="00585281">
          <w:rPr>
            <w:rStyle w:val="Hyperlink"/>
            <w:rFonts w:ascii="Cambria" w:hAnsi="Cambria"/>
          </w:rPr>
          <w:t>https://www.youtube.com/watch?v=x0d8sfl1tq4</w:t>
        </w:r>
      </w:hyperlink>
    </w:p>
    <w:p w:rsidR="000B06B2" w:rsidRPr="00585281" w:rsidRDefault="0082108B" w:rsidP="00585281">
      <w:pPr>
        <w:ind w:firstLine="360"/>
        <w:jc w:val="both"/>
        <w:rPr>
          <w:rStyle w:val="Hyperlink"/>
          <w:rFonts w:ascii="Cambria" w:hAnsi="Cambria"/>
        </w:rPr>
      </w:pPr>
      <w:hyperlink r:id="rId14" w:history="1">
        <w:r w:rsidR="000B06B2" w:rsidRPr="00585281">
          <w:rPr>
            <w:rStyle w:val="Hyperlink"/>
            <w:rFonts w:ascii="Cambria" w:hAnsi="Cambria"/>
          </w:rPr>
          <w:t>https://www.youtube.com/watch?v=KfG6xxi9V70</w:t>
        </w:r>
      </w:hyperlink>
      <w:r w:rsidR="000B06B2" w:rsidRPr="00585281">
        <w:rPr>
          <w:rStyle w:val="Hyperlink"/>
          <w:rFonts w:ascii="Cambria" w:hAnsi="Cambria"/>
        </w:rPr>
        <w:t xml:space="preserve"> </w:t>
      </w:r>
    </w:p>
    <w:p w:rsidR="000B06B2" w:rsidRPr="007A3EC6" w:rsidRDefault="007A3EC6" w:rsidP="00585281">
      <w:pPr>
        <w:pStyle w:val="HTMLVorformatiert"/>
        <w:ind w:left="360"/>
        <w:jc w:val="both"/>
        <w:rPr>
          <w:rFonts w:ascii="Cambria" w:hAnsi="Cambria" w:cstheme="minorHAnsi"/>
          <w:color w:val="222222"/>
          <w:sz w:val="22"/>
          <w:szCs w:val="22"/>
          <w:lang w:val="fr-FR"/>
        </w:rPr>
      </w:pPr>
      <w:r w:rsidRPr="007A3EC6">
        <w:rPr>
          <w:rFonts w:ascii="Cambria" w:hAnsi="Cambria" w:cstheme="minorHAnsi"/>
          <w:color w:val="222222"/>
          <w:sz w:val="22"/>
          <w:szCs w:val="22"/>
          <w:lang w:val="fr-FR"/>
        </w:rPr>
        <w:t xml:space="preserve">Site autrichien sur la logistique en allemand. Projet pilote fournissant un certain nombre d’informations intéressantes </w:t>
      </w:r>
    </w:p>
    <w:p w:rsidR="000B06B2" w:rsidRPr="00C93582" w:rsidRDefault="0082108B" w:rsidP="00585281">
      <w:pPr>
        <w:ind w:firstLine="360"/>
        <w:jc w:val="both"/>
        <w:rPr>
          <w:rStyle w:val="Hyperlink"/>
          <w:rFonts w:ascii="Cambria" w:hAnsi="Cambria"/>
        </w:rPr>
      </w:pPr>
      <w:hyperlink r:id="rId15" w:anchor="more-440" w:history="1">
        <w:r w:rsidR="000B06B2" w:rsidRPr="00C93582">
          <w:rPr>
            <w:rStyle w:val="Hyperlink"/>
            <w:rFonts w:ascii="Cambria" w:hAnsi="Cambria"/>
          </w:rPr>
          <w:t>http://www.logistik2030.at/?p=440#more-440</w:t>
        </w:r>
      </w:hyperlink>
    </w:p>
    <w:p w:rsidR="004C63C4" w:rsidRPr="00C93582" w:rsidRDefault="004C63C4" w:rsidP="000B06B2">
      <w:pPr>
        <w:ind w:left="696"/>
        <w:jc w:val="both"/>
        <w:rPr>
          <w:rStyle w:val="Hyperlink"/>
          <w:rFonts w:ascii="Cambria" w:hAnsi="Cambria"/>
        </w:rPr>
      </w:pPr>
    </w:p>
    <w:p w:rsidR="000A3C89" w:rsidRPr="00D1143D" w:rsidRDefault="000A3C89" w:rsidP="00D1143D">
      <w:pPr>
        <w:spacing w:after="120"/>
        <w:jc w:val="both"/>
        <w:rPr>
          <w:rFonts w:ascii="Cambria" w:hAnsi="Cambria"/>
          <w:b/>
        </w:rPr>
      </w:pPr>
      <w:r w:rsidRPr="00D1143D">
        <w:rPr>
          <w:rFonts w:ascii="Cambria" w:hAnsi="Cambria"/>
          <w:b/>
        </w:rPr>
        <w:t xml:space="preserve">Chapitre 2 : </w:t>
      </w:r>
      <w:r w:rsidRPr="00D1143D">
        <w:rPr>
          <w:rFonts w:ascii="Cambria" w:hAnsi="Cambria"/>
          <w:b/>
          <w:i/>
        </w:rPr>
        <w:t>Retour aux sources</w:t>
      </w:r>
      <w:r w:rsidRPr="00D1143D">
        <w:rPr>
          <w:rFonts w:ascii="Cambria" w:hAnsi="Cambria"/>
          <w:b/>
        </w:rPr>
        <w:t xml:space="preserve"> - </w:t>
      </w:r>
      <w:r w:rsidR="003F7E3C" w:rsidRPr="00D1143D">
        <w:rPr>
          <w:rFonts w:ascii="Cambria" w:hAnsi="Cambria"/>
          <w:b/>
        </w:rPr>
        <w:t>Intégrer l'</w:t>
      </w:r>
      <w:r w:rsidR="00D1143D">
        <w:rPr>
          <w:rFonts w:ascii="Cambria" w:hAnsi="Cambria"/>
          <w:b/>
        </w:rPr>
        <w:t>Education au Développement Durable (</w:t>
      </w:r>
      <w:r w:rsidR="003F7E3C" w:rsidRPr="00D1143D">
        <w:rPr>
          <w:rFonts w:ascii="Cambria" w:hAnsi="Cambria"/>
          <w:b/>
        </w:rPr>
        <w:t>EDD</w:t>
      </w:r>
      <w:r w:rsidR="00D1143D">
        <w:rPr>
          <w:rFonts w:ascii="Cambria" w:hAnsi="Cambria"/>
          <w:b/>
        </w:rPr>
        <w:t>)</w:t>
      </w:r>
      <w:r w:rsidR="003F7E3C" w:rsidRPr="00D1143D">
        <w:rPr>
          <w:rFonts w:ascii="Cambria" w:hAnsi="Cambria"/>
          <w:b/>
        </w:rPr>
        <w:t xml:space="preserve"> dans la formation professionnelle</w:t>
      </w:r>
    </w:p>
    <w:p w:rsidR="000A3C89" w:rsidRPr="00952BCE" w:rsidRDefault="000A3C89" w:rsidP="00D1143D">
      <w:pPr>
        <w:spacing w:after="120"/>
        <w:jc w:val="both"/>
        <w:rPr>
          <w:rFonts w:ascii="Cambria" w:hAnsi="Cambria"/>
        </w:rPr>
      </w:pPr>
      <w:r w:rsidRPr="00D1143D">
        <w:rPr>
          <w:rFonts w:ascii="Cambria" w:hAnsi="Cambria"/>
        </w:rPr>
        <w:t>1.</w:t>
      </w:r>
      <w:r w:rsidRPr="00D1143D">
        <w:rPr>
          <w:rFonts w:ascii="Cambria" w:hAnsi="Cambria"/>
        </w:rPr>
        <w:tab/>
        <w:t xml:space="preserve">Le BFI </w:t>
      </w:r>
      <w:r w:rsidRPr="00952BCE">
        <w:rPr>
          <w:rFonts w:ascii="Cambria" w:hAnsi="Cambria"/>
        </w:rPr>
        <w:t xml:space="preserve">OOE Linz </w:t>
      </w:r>
      <w:r w:rsidR="00952BCE">
        <w:rPr>
          <w:rFonts w:ascii="Cambria" w:hAnsi="Cambria"/>
        </w:rPr>
        <w:t xml:space="preserve">a adopté </w:t>
      </w:r>
      <w:r w:rsidRPr="00952BCE">
        <w:rPr>
          <w:rFonts w:ascii="Cambria" w:hAnsi="Cambria"/>
        </w:rPr>
        <w:t>la définition choisie par l'équipe</w:t>
      </w:r>
      <w:r w:rsidR="003F7E3C">
        <w:rPr>
          <w:rFonts w:ascii="Cambria" w:hAnsi="Cambria"/>
        </w:rPr>
        <w:t xml:space="preserve"> du projet GreenSkills4VET sur la soutenabilité et le développement durable</w:t>
      </w:r>
      <w:r w:rsidRPr="00952BCE">
        <w:rPr>
          <w:rFonts w:ascii="Cambria" w:hAnsi="Cambria"/>
        </w:rPr>
        <w:t xml:space="preserve"> :</w:t>
      </w:r>
    </w:p>
    <w:p w:rsidR="000A3C89" w:rsidRPr="003F7E3C" w:rsidRDefault="003F7E3C" w:rsidP="00D1143D">
      <w:pPr>
        <w:spacing w:after="120"/>
        <w:jc w:val="both"/>
        <w:rPr>
          <w:rFonts w:ascii="Cambria" w:hAnsi="Cambria"/>
          <w:i/>
          <w:color w:val="808080" w:themeColor="background1" w:themeShade="80"/>
        </w:rPr>
      </w:pPr>
      <w:r w:rsidRPr="003F7E3C">
        <w:rPr>
          <w:rFonts w:ascii="Cambria" w:hAnsi="Cambria"/>
          <w:i/>
          <w:color w:val="808080" w:themeColor="background1" w:themeShade="80"/>
        </w:rPr>
        <w:t>« </w:t>
      </w:r>
      <w:r w:rsidR="000A3C89" w:rsidRPr="003F7E3C">
        <w:rPr>
          <w:rFonts w:ascii="Cambria" w:hAnsi="Cambria"/>
          <w:i/>
          <w:color w:val="808080" w:themeColor="background1" w:themeShade="80"/>
        </w:rPr>
        <w:t>Le développement durable est un développement qui répond aux besoins du présent sans compromettre la capacité des générations futures à répondre aux leurs</w:t>
      </w:r>
      <w:r w:rsidRPr="003F7E3C">
        <w:rPr>
          <w:rFonts w:ascii="Cambria" w:hAnsi="Cambria"/>
          <w:i/>
          <w:color w:val="808080" w:themeColor="background1" w:themeShade="80"/>
        </w:rPr>
        <w:t> »</w:t>
      </w:r>
      <w:r w:rsidR="000A3C89" w:rsidRPr="003F7E3C">
        <w:rPr>
          <w:rFonts w:ascii="Cambria" w:hAnsi="Cambria"/>
          <w:i/>
          <w:color w:val="808080" w:themeColor="background1" w:themeShade="80"/>
        </w:rPr>
        <w:t xml:space="preserve">. </w:t>
      </w:r>
      <w:r w:rsidRPr="003F7E3C">
        <w:rPr>
          <w:rFonts w:ascii="Cambria" w:hAnsi="Cambria"/>
          <w:i/>
          <w:color w:val="808080" w:themeColor="background1" w:themeShade="80"/>
        </w:rPr>
        <w:t>(WCED,</w:t>
      </w:r>
      <w:r w:rsidR="000A3C89" w:rsidRPr="003F7E3C">
        <w:rPr>
          <w:rFonts w:ascii="Cambria" w:hAnsi="Cambria"/>
          <w:i/>
          <w:color w:val="808080" w:themeColor="background1" w:themeShade="80"/>
        </w:rPr>
        <w:t xml:space="preserve"> 1987, p. 37)</w:t>
      </w:r>
    </w:p>
    <w:p w:rsidR="000A3C89" w:rsidRPr="003F7E3C" w:rsidRDefault="000A3C89" w:rsidP="00D1143D">
      <w:pPr>
        <w:spacing w:after="120"/>
        <w:jc w:val="both"/>
        <w:rPr>
          <w:rFonts w:ascii="Cambria" w:hAnsi="Cambria"/>
        </w:rPr>
      </w:pPr>
      <w:r w:rsidRPr="003F7E3C">
        <w:rPr>
          <w:rFonts w:ascii="Cambria" w:hAnsi="Cambria"/>
        </w:rPr>
        <w:lastRenderedPageBreak/>
        <w:t>L'éducation joue un rôle important dans le développement durable. Pour le BFI OOOE, l'éducation au développement durable a beaucoup à voir avec une approche éducative participative et axée sur l'autonomisation (de soi) qui accroît la prise de conscience de chacun de ses domaines d'action respectifs afin de favoriser la durabilité et la prise de conscience que nous devons assumer la responsabilité de nos actions</w:t>
      </w:r>
      <w:r w:rsidR="00D1143D">
        <w:rPr>
          <w:rFonts w:ascii="Cambria" w:hAnsi="Cambria"/>
        </w:rPr>
        <w:t xml:space="preserve"> tout en étant </w:t>
      </w:r>
      <w:r w:rsidR="003F7E3C">
        <w:rPr>
          <w:rFonts w:ascii="Cambria" w:hAnsi="Cambria"/>
        </w:rPr>
        <w:t>acteurs du changement</w:t>
      </w:r>
      <w:r w:rsidRPr="003F7E3C">
        <w:rPr>
          <w:rFonts w:ascii="Cambria" w:hAnsi="Cambria"/>
        </w:rPr>
        <w:t>. Il s'agit d'une approche éducative ascendante, qui a grandement besoin du soutien descendan</w:t>
      </w:r>
      <w:r w:rsidR="003F7E3C">
        <w:rPr>
          <w:rFonts w:ascii="Cambria" w:hAnsi="Cambria"/>
        </w:rPr>
        <w:t>t, tant sur le plan financier que</w:t>
      </w:r>
      <w:r w:rsidRPr="003F7E3C">
        <w:rPr>
          <w:rFonts w:ascii="Cambria" w:hAnsi="Cambria"/>
        </w:rPr>
        <w:t xml:space="preserve"> politique/idéologique. </w:t>
      </w:r>
    </w:p>
    <w:p w:rsidR="000A3C89" w:rsidRPr="00D1143D" w:rsidRDefault="000A3C89" w:rsidP="00D1143D">
      <w:pPr>
        <w:spacing w:after="120"/>
        <w:jc w:val="both"/>
        <w:rPr>
          <w:rFonts w:ascii="Cambria" w:hAnsi="Cambria"/>
        </w:rPr>
      </w:pPr>
      <w:r w:rsidRPr="00D1143D">
        <w:rPr>
          <w:rFonts w:ascii="Cambria" w:hAnsi="Cambria"/>
        </w:rPr>
        <w:t>Le BFI OOE Linz souscrit à la définition suivante de l'EDD :</w:t>
      </w:r>
    </w:p>
    <w:p w:rsidR="00D1143D" w:rsidRPr="003E38CC" w:rsidRDefault="00D1143D" w:rsidP="003E38CC">
      <w:pPr>
        <w:pStyle w:val="Listenabsatz"/>
        <w:spacing w:after="120"/>
        <w:ind w:left="714"/>
        <w:jc w:val="both"/>
        <w:rPr>
          <w:rFonts w:ascii="Calibri" w:hAnsi="Calibri" w:cs="Calibri"/>
          <w:sz w:val="18"/>
          <w:szCs w:val="18"/>
        </w:rPr>
      </w:pPr>
      <w:r>
        <w:rPr>
          <w:rFonts w:ascii="Calibri" w:hAnsi="Calibri" w:cs="Calibri"/>
          <w:sz w:val="18"/>
          <w:szCs w:val="18"/>
        </w:rPr>
        <w:t>« </w:t>
      </w:r>
      <w:r w:rsidR="000A3C89" w:rsidRPr="00D1143D">
        <w:rPr>
          <w:rFonts w:ascii="Calibri" w:hAnsi="Calibri" w:cs="Calibri"/>
          <w:sz w:val="18"/>
          <w:szCs w:val="18"/>
        </w:rPr>
        <w:t>L'EDD donne aux apprenants les moyens de prendre des décisions éclairées et des mesures responsables pour l'intégrité environnementale, la viabilité économique et une société juste, pour les générations présentes et futures, tout en respectant la diversité culturelle. L'EDD est une éducation holistique et transformationnelle qui aborde le contenu et les résultats de l'apprentissage, la pédagogie et l'environnement d'apprentissage. Elle atteint ses b</w:t>
      </w:r>
      <w:r>
        <w:rPr>
          <w:rFonts w:ascii="Calibri" w:hAnsi="Calibri" w:cs="Calibri"/>
          <w:sz w:val="18"/>
          <w:szCs w:val="18"/>
        </w:rPr>
        <w:t>uts en transformant la société. »</w:t>
      </w:r>
      <w:r w:rsidR="000A3C89" w:rsidRPr="00D1143D">
        <w:rPr>
          <w:rFonts w:ascii="Calibri" w:hAnsi="Calibri" w:cs="Calibri"/>
          <w:sz w:val="18"/>
          <w:szCs w:val="18"/>
        </w:rPr>
        <w:t xml:space="preserve"> </w:t>
      </w:r>
    </w:p>
    <w:p w:rsidR="000A3C89" w:rsidRPr="00D1143D" w:rsidRDefault="000A3C89" w:rsidP="00D1143D">
      <w:pPr>
        <w:spacing w:after="120"/>
        <w:jc w:val="both"/>
        <w:rPr>
          <w:rFonts w:ascii="Cambria" w:hAnsi="Cambria"/>
        </w:rPr>
      </w:pPr>
      <w:r w:rsidRPr="00D1143D">
        <w:rPr>
          <w:rFonts w:ascii="Cambria" w:hAnsi="Cambria"/>
        </w:rPr>
        <w:t>Fondamentalement, grâce à la création de champs d'apprentissage qui facilitent et initient des processus de prise de conscience par le biais de contributions sur la durabilité et l'autoréflexion, et donc se concentrent toujours sur le contenu ainsi que sur l</w:t>
      </w:r>
      <w:r w:rsidR="003E38CC">
        <w:rPr>
          <w:rFonts w:ascii="Cambria" w:hAnsi="Cambria"/>
        </w:rPr>
        <w:t xml:space="preserve">e développement </w:t>
      </w:r>
      <w:r w:rsidRPr="00D1143D">
        <w:rPr>
          <w:rFonts w:ascii="Cambria" w:hAnsi="Cambria"/>
        </w:rPr>
        <w:t>personnelle, les apprenants peuvent être habilités à prendre des décisions informées et des actions responsables dans les domaines de l'environnement, la justice sociale et l'économie. L'accent est mis sur le</w:t>
      </w:r>
      <w:r w:rsidR="00D1143D" w:rsidRPr="00D1143D">
        <w:rPr>
          <w:rFonts w:ascii="Cambria" w:hAnsi="Cambria"/>
        </w:rPr>
        <w:t xml:space="preserve"> maintien de l'équilibre entre c</w:t>
      </w:r>
      <w:r w:rsidRPr="00D1143D">
        <w:rPr>
          <w:rFonts w:ascii="Cambria" w:hAnsi="Cambria"/>
        </w:rPr>
        <w:t xml:space="preserve">es trois dimensions et la préservation de notre planète de manière à pouvoir répondre aux besoins des générations futures. </w:t>
      </w:r>
    </w:p>
    <w:p w:rsidR="000A3C89" w:rsidRDefault="000A3C89" w:rsidP="003E38CC">
      <w:pPr>
        <w:pStyle w:val="Listenabsatz"/>
        <w:spacing w:after="120"/>
        <w:ind w:left="714"/>
        <w:jc w:val="both"/>
        <w:rPr>
          <w:rFonts w:ascii="Cambria" w:hAnsi="Cambria"/>
        </w:rPr>
      </w:pPr>
      <w:r w:rsidRPr="00131450">
        <w:rPr>
          <w:rFonts w:ascii="Cambria" w:hAnsi="Cambria"/>
        </w:rPr>
        <w:t xml:space="preserve">Au cours de la dernière décennie, la </w:t>
      </w:r>
      <w:r w:rsidR="003E38CC">
        <w:rPr>
          <w:rFonts w:ascii="Cambria" w:hAnsi="Cambria"/>
        </w:rPr>
        <w:t>soutenabilité</w:t>
      </w:r>
      <w:r w:rsidRPr="00131450">
        <w:rPr>
          <w:rFonts w:ascii="Cambria" w:hAnsi="Cambria"/>
        </w:rPr>
        <w:t>, qui met l'accent sur l'autonomisation et la prise de responsabilités ainsi que sur la croissance et le développement personnel, a été une approche intégrative dans de nombreux projets éducatifs de la BFI Linz qui a contribué à sensibiliser les participants aux projets éducatifs et, par conséquent, à les faire connaî</w:t>
      </w:r>
      <w:r w:rsidR="003E38CC">
        <w:rPr>
          <w:rFonts w:ascii="Cambria" w:hAnsi="Cambria"/>
        </w:rPr>
        <w:t>tre à une partie de la société.</w:t>
      </w:r>
    </w:p>
    <w:p w:rsidR="003E38CC" w:rsidRPr="003E38CC" w:rsidRDefault="003E38CC" w:rsidP="003E38CC">
      <w:pPr>
        <w:pStyle w:val="Listenabsatz"/>
        <w:spacing w:after="120"/>
        <w:ind w:left="714"/>
        <w:jc w:val="both"/>
        <w:rPr>
          <w:rFonts w:ascii="Cambria" w:hAnsi="Cambria"/>
        </w:rPr>
      </w:pPr>
    </w:p>
    <w:p w:rsidR="00550644" w:rsidRPr="00B432BE" w:rsidRDefault="00550644" w:rsidP="00B432BE">
      <w:pPr>
        <w:spacing w:after="120"/>
        <w:jc w:val="both"/>
        <w:rPr>
          <w:rFonts w:ascii="Cambria" w:hAnsi="Cambria"/>
        </w:rPr>
      </w:pPr>
      <w:r w:rsidRPr="00D929AD">
        <w:rPr>
          <w:rFonts w:ascii="Cambria" w:hAnsi="Cambria"/>
        </w:rPr>
        <w:t>2.</w:t>
      </w:r>
      <w:r w:rsidRPr="00D929AD">
        <w:rPr>
          <w:rFonts w:ascii="Cambria" w:hAnsi="Cambria"/>
        </w:rPr>
        <w:tab/>
        <w:t>L</w:t>
      </w:r>
      <w:r w:rsidR="00B432BE" w:rsidRPr="00D929AD">
        <w:rPr>
          <w:rFonts w:ascii="Cambria" w:hAnsi="Cambria"/>
        </w:rPr>
        <w:t>’orientation et le cadrage de l’unité, spécifiquement en direction de l</w:t>
      </w:r>
      <w:r w:rsidRPr="00D929AD">
        <w:rPr>
          <w:rFonts w:ascii="Cambria" w:hAnsi="Cambria"/>
        </w:rPr>
        <w:t xml:space="preserve">a formation professionnelle </w:t>
      </w:r>
      <w:r w:rsidR="00B432BE" w:rsidRPr="00D929AD">
        <w:rPr>
          <w:rFonts w:ascii="Cambria" w:hAnsi="Cambria"/>
        </w:rPr>
        <w:t xml:space="preserve">consistent </w:t>
      </w:r>
      <w:r w:rsidRPr="00D929AD">
        <w:rPr>
          <w:rFonts w:ascii="Cambria" w:hAnsi="Cambria"/>
        </w:rPr>
        <w:t>apporter une réflexion</w:t>
      </w:r>
      <w:r w:rsidR="00B432BE" w:rsidRPr="00D929AD">
        <w:rPr>
          <w:rFonts w:ascii="Cambria" w:hAnsi="Cambria"/>
        </w:rPr>
        <w:t xml:space="preserve"> sur la soutenabilité dans</w:t>
      </w:r>
      <w:r w:rsidRPr="00D929AD">
        <w:rPr>
          <w:rFonts w:ascii="Cambria" w:hAnsi="Cambria"/>
        </w:rPr>
        <w:t xml:space="preserve"> la logistique, </w:t>
      </w:r>
      <w:r w:rsidR="00B432BE" w:rsidRPr="00D929AD">
        <w:rPr>
          <w:rFonts w:ascii="Cambria" w:hAnsi="Cambria"/>
        </w:rPr>
        <w:t xml:space="preserve">à la fois </w:t>
      </w:r>
      <w:r w:rsidRPr="00D929AD">
        <w:rPr>
          <w:rFonts w:ascii="Cambria" w:hAnsi="Cambria"/>
        </w:rPr>
        <w:t>dans les domaines de l'économie, de l'environnement et du social (3 piliers</w:t>
      </w:r>
      <w:r w:rsidR="00B432BE" w:rsidRPr="00D929AD">
        <w:rPr>
          <w:rFonts w:ascii="Cambria" w:hAnsi="Cambria"/>
        </w:rPr>
        <w:t xml:space="preserve"> du développement durable). Si l</w:t>
      </w:r>
      <w:r w:rsidRPr="00D929AD">
        <w:rPr>
          <w:rFonts w:ascii="Cambria" w:hAnsi="Cambria"/>
        </w:rPr>
        <w:t>es formateurs en logistique que le BFI a interviewés ont souligné l'importance de la durabilité dans la logistique en tan</w:t>
      </w:r>
      <w:r w:rsidR="00B432BE" w:rsidRPr="00D929AD">
        <w:rPr>
          <w:rFonts w:ascii="Cambria" w:hAnsi="Cambria"/>
        </w:rPr>
        <w:t>t que question transversale, seule une minorité</w:t>
      </w:r>
      <w:r w:rsidRPr="00D929AD">
        <w:rPr>
          <w:rFonts w:ascii="Cambria" w:hAnsi="Cambria"/>
        </w:rPr>
        <w:t xml:space="preserve"> d'entre eux ont déclaré </w:t>
      </w:r>
      <w:r w:rsidR="00B432BE" w:rsidRPr="00D929AD">
        <w:rPr>
          <w:rFonts w:ascii="Cambria" w:hAnsi="Cambria"/>
        </w:rPr>
        <w:t xml:space="preserve">inclure ces notions </w:t>
      </w:r>
      <w:r w:rsidR="00B432BE">
        <w:rPr>
          <w:rFonts w:ascii="Cambria" w:hAnsi="Cambria"/>
        </w:rPr>
        <w:t xml:space="preserve">dans leurs enseignements en s’appuyant sur leurs </w:t>
      </w:r>
      <w:r w:rsidRPr="00B432BE">
        <w:rPr>
          <w:rFonts w:ascii="Cambria" w:hAnsi="Cambria"/>
        </w:rPr>
        <w:t xml:space="preserve">propres connaissances et contributions. Cependant, jusqu'à présent, la durabilité ne fait pas partie du programme d'enseignement logistique et n'a pas été traitée explicitement. </w:t>
      </w:r>
    </w:p>
    <w:p w:rsidR="00550644" w:rsidRPr="004C5FCE" w:rsidRDefault="00C85139" w:rsidP="00C85139">
      <w:pPr>
        <w:spacing w:after="120"/>
        <w:jc w:val="both"/>
        <w:rPr>
          <w:rFonts w:ascii="Cambria" w:hAnsi="Cambria"/>
        </w:rPr>
      </w:pPr>
      <w:r>
        <w:rPr>
          <w:rFonts w:ascii="Cambria" w:hAnsi="Cambria"/>
        </w:rPr>
        <w:t>A cet égard, la</w:t>
      </w:r>
      <w:r w:rsidR="00550644" w:rsidRPr="00C85139">
        <w:rPr>
          <w:rFonts w:ascii="Cambria" w:hAnsi="Cambria"/>
        </w:rPr>
        <w:t xml:space="preserve"> REL créé</w:t>
      </w:r>
      <w:r>
        <w:rPr>
          <w:rFonts w:ascii="Cambria" w:hAnsi="Cambria"/>
        </w:rPr>
        <w:t>e</w:t>
      </w:r>
      <w:r w:rsidR="00550644" w:rsidRPr="00C85139">
        <w:rPr>
          <w:rFonts w:ascii="Cambria" w:hAnsi="Cambria"/>
        </w:rPr>
        <w:t xml:space="preserve"> répond bien à l'objectif initial d'enrichir les unités d'apprentissage de </w:t>
      </w:r>
      <w:r w:rsidR="004C5FCE">
        <w:rPr>
          <w:rFonts w:ascii="Cambria" w:hAnsi="Cambria"/>
        </w:rPr>
        <w:t>la formation professionnelle par l'EDD. La</w:t>
      </w:r>
      <w:r w:rsidR="00550644" w:rsidRPr="00C85139">
        <w:rPr>
          <w:rFonts w:ascii="Cambria" w:hAnsi="Cambria"/>
        </w:rPr>
        <w:t xml:space="preserve"> REL donne d'abord un aperçu général de</w:t>
      </w:r>
      <w:r w:rsidR="004C5FCE">
        <w:rPr>
          <w:rFonts w:ascii="Cambria" w:hAnsi="Cambria"/>
        </w:rPr>
        <w:t>s principes liés à la</w:t>
      </w:r>
      <w:r w:rsidR="00550644" w:rsidRPr="00C85139">
        <w:rPr>
          <w:rFonts w:ascii="Cambria" w:hAnsi="Cambria"/>
        </w:rPr>
        <w:t xml:space="preserve"> </w:t>
      </w:r>
      <w:r w:rsidR="004C5FCE">
        <w:rPr>
          <w:rFonts w:ascii="Cambria" w:hAnsi="Cambria"/>
        </w:rPr>
        <w:t xml:space="preserve">soutenabilité </w:t>
      </w:r>
      <w:r w:rsidR="00550644" w:rsidRPr="00C85139">
        <w:rPr>
          <w:rFonts w:ascii="Cambria" w:hAnsi="Cambria"/>
        </w:rPr>
        <w:t xml:space="preserve">et une introduction au concept de </w:t>
      </w:r>
      <w:r w:rsidR="004C5FCE">
        <w:rPr>
          <w:rFonts w:ascii="Cambria" w:hAnsi="Cambria"/>
        </w:rPr>
        <w:t>développement durable</w:t>
      </w:r>
      <w:r w:rsidR="00550644" w:rsidRPr="00C85139">
        <w:rPr>
          <w:rFonts w:ascii="Cambria" w:hAnsi="Cambria"/>
        </w:rPr>
        <w:t>. Par le biais de contributions et d'exercices qui favorisent l'</w:t>
      </w:r>
      <w:r w:rsidR="004C5FCE" w:rsidRPr="00C85139">
        <w:rPr>
          <w:rFonts w:ascii="Cambria" w:hAnsi="Cambria"/>
        </w:rPr>
        <w:t>autoréflexion</w:t>
      </w:r>
      <w:r w:rsidR="00550644" w:rsidRPr="00C85139">
        <w:rPr>
          <w:rFonts w:ascii="Cambria" w:hAnsi="Cambria"/>
        </w:rPr>
        <w:t xml:space="preserve">, la participation, l'échange en groupe, la présentation et </w:t>
      </w:r>
      <w:r w:rsidR="004C5FCE">
        <w:rPr>
          <w:rFonts w:ascii="Cambria" w:hAnsi="Cambria"/>
        </w:rPr>
        <w:t>l’évaluation des pairs et des formateurs, la</w:t>
      </w:r>
      <w:r w:rsidR="00550644" w:rsidRPr="00C85139">
        <w:rPr>
          <w:rFonts w:ascii="Cambria" w:hAnsi="Cambria"/>
        </w:rPr>
        <w:t xml:space="preserve"> REL se concentre sur la sensibilisation à la durabilité et l'identification des domaines d'action personnels et professionnels </w:t>
      </w:r>
      <w:r w:rsidR="004C5FCE">
        <w:rPr>
          <w:rFonts w:ascii="Cambria" w:hAnsi="Cambria"/>
        </w:rPr>
        <w:t>d’amélioration ainsi que</w:t>
      </w:r>
      <w:r w:rsidR="00550644" w:rsidRPr="00C85139">
        <w:rPr>
          <w:rFonts w:ascii="Cambria" w:hAnsi="Cambria"/>
        </w:rPr>
        <w:t xml:space="preserve"> des mesures concrètes que les participants peuvent prendre. L'approche consiste à </w:t>
      </w:r>
      <w:r w:rsidR="004C5FCE">
        <w:rPr>
          <w:rFonts w:ascii="Cambria" w:hAnsi="Cambria"/>
        </w:rPr>
        <w:t>favoriser le</w:t>
      </w:r>
      <w:r w:rsidR="00550644" w:rsidRPr="00C85139">
        <w:rPr>
          <w:rFonts w:ascii="Cambria" w:hAnsi="Cambria"/>
        </w:rPr>
        <w:t xml:space="preserve"> sens des responsabilités </w:t>
      </w:r>
      <w:r w:rsidR="004C5FCE">
        <w:rPr>
          <w:rFonts w:ascii="Cambria" w:hAnsi="Cambria"/>
        </w:rPr>
        <w:t xml:space="preserve">des participants </w:t>
      </w:r>
      <w:r w:rsidR="00550644" w:rsidRPr="00C85139">
        <w:rPr>
          <w:rFonts w:ascii="Cambria" w:hAnsi="Cambria"/>
        </w:rPr>
        <w:t xml:space="preserve">et à </w:t>
      </w:r>
      <w:r w:rsidR="004C5FCE">
        <w:rPr>
          <w:rFonts w:ascii="Cambria" w:hAnsi="Cambria"/>
        </w:rPr>
        <w:t>les</w:t>
      </w:r>
      <w:r w:rsidR="00550644" w:rsidRPr="00C85139">
        <w:rPr>
          <w:rFonts w:ascii="Cambria" w:hAnsi="Cambria"/>
        </w:rPr>
        <w:t xml:space="preserve"> </w:t>
      </w:r>
      <w:r w:rsidR="00550644" w:rsidRPr="00C85139">
        <w:rPr>
          <w:rFonts w:ascii="Cambria" w:hAnsi="Cambria"/>
        </w:rPr>
        <w:lastRenderedPageBreak/>
        <w:t>considérer comme des acteurs pertinents</w:t>
      </w:r>
      <w:r w:rsidR="004C5FCE">
        <w:rPr>
          <w:rFonts w:ascii="Cambria" w:hAnsi="Cambria"/>
        </w:rPr>
        <w:t xml:space="preserve"> de ces transformations</w:t>
      </w:r>
      <w:r w:rsidR="00550644" w:rsidRPr="00C85139">
        <w:rPr>
          <w:rFonts w:ascii="Cambria" w:hAnsi="Cambria"/>
        </w:rPr>
        <w:t xml:space="preserve">. L'objectif principal de </w:t>
      </w:r>
      <w:r w:rsidR="004C5FCE">
        <w:rPr>
          <w:rFonts w:ascii="Cambria" w:hAnsi="Cambria"/>
        </w:rPr>
        <w:t xml:space="preserve">la </w:t>
      </w:r>
      <w:r w:rsidR="00550644" w:rsidRPr="00C85139">
        <w:rPr>
          <w:rFonts w:ascii="Cambria" w:hAnsi="Cambria"/>
        </w:rPr>
        <w:t xml:space="preserve">REL est d'appliquer la durabilité dans le domaine de la logistique, plus particulièrement dans le domaine de l'environnement et du transport. </w:t>
      </w:r>
      <w:r w:rsidR="00550644" w:rsidRPr="004C5FCE">
        <w:rPr>
          <w:rFonts w:ascii="Cambria" w:hAnsi="Cambria"/>
        </w:rPr>
        <w:t xml:space="preserve">L'approche concerne les 3 piliers </w:t>
      </w:r>
      <w:r w:rsidR="004C5FCE" w:rsidRPr="004C5FCE">
        <w:rPr>
          <w:rFonts w:ascii="Cambria" w:hAnsi="Cambria"/>
        </w:rPr>
        <w:t>du développement durable</w:t>
      </w:r>
      <w:r w:rsidR="00550644" w:rsidRPr="004C5FCE">
        <w:rPr>
          <w:rFonts w:ascii="Cambria" w:hAnsi="Cambria"/>
        </w:rPr>
        <w:t xml:space="preserve">. </w:t>
      </w:r>
    </w:p>
    <w:p w:rsidR="008953D8" w:rsidRDefault="00D929AD" w:rsidP="009349D6">
      <w:pPr>
        <w:spacing w:after="120"/>
        <w:jc w:val="both"/>
        <w:rPr>
          <w:rFonts w:ascii="Cambria" w:hAnsi="Cambria"/>
        </w:rPr>
      </w:pPr>
      <w:r w:rsidRPr="00D929AD">
        <w:rPr>
          <w:rFonts w:ascii="Cambria" w:hAnsi="Cambria"/>
        </w:rPr>
        <w:t xml:space="preserve">Principalement, la REL veut changer </w:t>
      </w:r>
      <w:r w:rsidR="00550644" w:rsidRPr="00D929AD">
        <w:rPr>
          <w:rFonts w:ascii="Cambria" w:hAnsi="Cambria"/>
        </w:rPr>
        <w:t xml:space="preserve">l'état d'esprit des participants </w:t>
      </w:r>
      <w:r w:rsidRPr="00D929AD">
        <w:rPr>
          <w:rFonts w:ascii="Cambria" w:hAnsi="Cambria"/>
        </w:rPr>
        <w:t xml:space="preserve">en favorisant </w:t>
      </w:r>
      <w:r w:rsidR="00550644" w:rsidRPr="00D929AD">
        <w:rPr>
          <w:rFonts w:ascii="Cambria" w:hAnsi="Cambria"/>
        </w:rPr>
        <w:t>une remise en question des pratiques existantes et traditionnelles</w:t>
      </w:r>
      <w:r w:rsidRPr="00D929AD">
        <w:rPr>
          <w:rFonts w:ascii="Cambria" w:hAnsi="Cambria"/>
        </w:rPr>
        <w:t xml:space="preserve"> en s’appuyant sur une enquête, </w:t>
      </w:r>
      <w:r w:rsidR="00550644" w:rsidRPr="00D929AD">
        <w:rPr>
          <w:rFonts w:ascii="Cambria" w:hAnsi="Cambria"/>
        </w:rPr>
        <w:t>un questionnement</w:t>
      </w:r>
      <w:r w:rsidRPr="00D929AD">
        <w:rPr>
          <w:rFonts w:ascii="Cambria" w:hAnsi="Cambria"/>
        </w:rPr>
        <w:t xml:space="preserve"> s’inscrivant dans un processus de</w:t>
      </w:r>
      <w:r>
        <w:rPr>
          <w:rFonts w:ascii="Cambria" w:hAnsi="Cambria"/>
        </w:rPr>
        <w:t xml:space="preserve"> responsabilisation les sollicitant en</w:t>
      </w:r>
      <w:r w:rsidR="00550644" w:rsidRPr="00D929AD">
        <w:rPr>
          <w:rFonts w:ascii="Cambria" w:hAnsi="Cambria"/>
        </w:rPr>
        <w:t xml:space="preserve"> tant que décideurs, citoyens et professionnels responsables.</w:t>
      </w:r>
    </w:p>
    <w:p w:rsidR="009349D6" w:rsidRPr="00ED3983" w:rsidRDefault="009349D6" w:rsidP="009349D6">
      <w:pPr>
        <w:jc w:val="both"/>
        <w:rPr>
          <w:rFonts w:ascii="Cambria" w:hAnsi="Cambria"/>
        </w:rPr>
      </w:pPr>
      <w:r w:rsidRPr="00ED3983">
        <w:rPr>
          <w:rFonts w:ascii="Cambria" w:hAnsi="Cambria"/>
        </w:rPr>
        <w:t>3.</w:t>
      </w:r>
      <w:r w:rsidRPr="00ED3983">
        <w:rPr>
          <w:rFonts w:ascii="Cambria" w:hAnsi="Cambria"/>
        </w:rPr>
        <w:tab/>
        <w:t xml:space="preserve">L'Unité </w:t>
      </w:r>
      <w:r>
        <w:rPr>
          <w:rFonts w:ascii="Cambria" w:hAnsi="Cambria"/>
        </w:rPr>
        <w:t>s’intéresse aux</w:t>
      </w:r>
      <w:r w:rsidRPr="00ED3983">
        <w:rPr>
          <w:rFonts w:ascii="Cambria" w:hAnsi="Cambria"/>
        </w:rPr>
        <w:t xml:space="preserve"> trois dimensions de la durabilité dans les parties 1 à 5 de la REL. Toutefois, dans la partie 6, la REL se concentre principalement sur les aspects environnementaux et économiques. </w:t>
      </w:r>
    </w:p>
    <w:p w:rsidR="009349D6" w:rsidRPr="00131450" w:rsidRDefault="009349D6" w:rsidP="009349D6">
      <w:pPr>
        <w:jc w:val="both"/>
        <w:rPr>
          <w:rFonts w:ascii="Cambria" w:hAnsi="Cambria"/>
        </w:rPr>
      </w:pPr>
      <w:r w:rsidRPr="00131450">
        <w:rPr>
          <w:rFonts w:ascii="Cambria" w:hAnsi="Cambria"/>
        </w:rPr>
        <w:t>4.</w:t>
      </w:r>
      <w:r w:rsidRPr="00131450">
        <w:rPr>
          <w:rFonts w:ascii="Cambria" w:hAnsi="Cambria"/>
        </w:rPr>
        <w:tab/>
        <w:t>La définition initiale du</w:t>
      </w:r>
      <w:r>
        <w:rPr>
          <w:rFonts w:ascii="Cambria" w:hAnsi="Cambria"/>
        </w:rPr>
        <w:t xml:space="preserve"> développement durable et de l'Education au Développement D</w:t>
      </w:r>
      <w:r w:rsidRPr="00131450">
        <w:rPr>
          <w:rFonts w:ascii="Cambria" w:hAnsi="Cambria"/>
        </w:rPr>
        <w:t xml:space="preserve">urable dans le cadre du Partenariat Greenskills4VET était la suivante : </w:t>
      </w:r>
    </w:p>
    <w:p w:rsidR="009349D6" w:rsidRPr="00ED3983" w:rsidRDefault="009349D6" w:rsidP="009349D6">
      <w:pPr>
        <w:ind w:left="708"/>
        <w:jc w:val="both"/>
        <w:rPr>
          <w:rFonts w:cstheme="minorHAnsi"/>
          <w:sz w:val="18"/>
          <w:szCs w:val="18"/>
        </w:rPr>
      </w:pPr>
      <w:r>
        <w:rPr>
          <w:rFonts w:cstheme="minorHAnsi"/>
          <w:sz w:val="18"/>
          <w:szCs w:val="18"/>
        </w:rPr>
        <w:t>« </w:t>
      </w:r>
      <w:r w:rsidRPr="00ED3983">
        <w:rPr>
          <w:rFonts w:cstheme="minorHAnsi"/>
          <w:sz w:val="18"/>
          <w:szCs w:val="18"/>
        </w:rPr>
        <w:t>La durabilité repose sur un principe simple : tout ce dont nous avons besoin pour notre survie et notre bien-être dépend, directement ou indirectement, de notre environnement naturel. Poursuivre la durabilité, c'est créer et maintenir les conditions dans lesquelles l'homme et la nature peuvent exister en harmonie productive pour soutenir les g</w:t>
      </w:r>
      <w:r>
        <w:rPr>
          <w:rFonts w:cstheme="minorHAnsi"/>
          <w:sz w:val="18"/>
          <w:szCs w:val="18"/>
        </w:rPr>
        <w:t>énérations présentes et futures »</w:t>
      </w:r>
      <w:r w:rsidRPr="00ED3983">
        <w:rPr>
          <w:rFonts w:cstheme="minorHAnsi"/>
          <w:sz w:val="18"/>
          <w:szCs w:val="18"/>
        </w:rPr>
        <w:t>.</w:t>
      </w:r>
    </w:p>
    <w:p w:rsidR="009349D6" w:rsidRPr="00ED3983" w:rsidRDefault="009349D6" w:rsidP="009349D6">
      <w:pPr>
        <w:ind w:left="708"/>
        <w:jc w:val="both"/>
        <w:rPr>
          <w:rFonts w:cstheme="minorHAnsi"/>
          <w:sz w:val="18"/>
          <w:szCs w:val="18"/>
        </w:rPr>
      </w:pPr>
      <w:r>
        <w:rPr>
          <w:rFonts w:cstheme="minorHAnsi"/>
          <w:sz w:val="18"/>
          <w:szCs w:val="18"/>
        </w:rPr>
        <w:t>« </w:t>
      </w:r>
      <w:r w:rsidRPr="00ED3983">
        <w:rPr>
          <w:rFonts w:cstheme="minorHAnsi"/>
          <w:sz w:val="18"/>
          <w:szCs w:val="18"/>
        </w:rPr>
        <w:t>L'idée principale de la conception de la durabilité est que chaque génération est responsable de la résolution de ses propres problèmes et qu'elle ne doit pas imposer ces problèmes à la génération suivante. La définition de la durabilité est adoptée comme un concept tripartite d'équilibre entre le développement économique, écologique et social. La durabilité comprend deux efforts principaux de la société : la croissance du développement économique est basée sur un meilleur niveau de vie et l'amélioration de l'e</w:t>
      </w:r>
      <w:r>
        <w:rPr>
          <w:rFonts w:cstheme="minorHAnsi"/>
          <w:sz w:val="18"/>
          <w:szCs w:val="18"/>
        </w:rPr>
        <w:t>nvironnement propre maintenant. »</w:t>
      </w:r>
    </w:p>
    <w:p w:rsidR="009349D6" w:rsidRPr="00ED3983" w:rsidRDefault="009349D6" w:rsidP="009349D6">
      <w:pPr>
        <w:ind w:left="708"/>
        <w:jc w:val="both"/>
        <w:rPr>
          <w:rFonts w:cstheme="minorHAnsi"/>
          <w:sz w:val="18"/>
          <w:szCs w:val="18"/>
        </w:rPr>
      </w:pPr>
      <w:r>
        <w:rPr>
          <w:rFonts w:cstheme="minorHAnsi"/>
          <w:sz w:val="18"/>
          <w:szCs w:val="18"/>
        </w:rPr>
        <w:t>« </w:t>
      </w:r>
      <w:r w:rsidRPr="00ED3983">
        <w:rPr>
          <w:rFonts w:cstheme="minorHAnsi"/>
          <w:sz w:val="18"/>
          <w:szCs w:val="18"/>
        </w:rPr>
        <w:t>L'Unesco définit l'EDD comme " La vision de l'éducation en vue du développement durable dans un monde où chacun a la possibilité de bénéficier d'une éducation de qualité et d'apprendre les valeurs, les comportements et les modes de vie requis pour un avenir durable et pour une transformation positive de la société. L'EDD est un processus d'apprentissage de l</w:t>
      </w:r>
      <w:r>
        <w:rPr>
          <w:rFonts w:cstheme="minorHAnsi"/>
          <w:sz w:val="18"/>
          <w:szCs w:val="18"/>
        </w:rPr>
        <w:t>a prise de décisions qui tien</w:t>
      </w:r>
      <w:r w:rsidRPr="00ED3983">
        <w:rPr>
          <w:rFonts w:cstheme="minorHAnsi"/>
          <w:sz w:val="18"/>
          <w:szCs w:val="18"/>
        </w:rPr>
        <w:t>t compte de l'avenir à long terme de l'économie, de l'écologie et du développement équitable de toutes les communautés. Les 3 piliers de l'EDD sont : Économique, environnemental et socia</w:t>
      </w:r>
      <w:r>
        <w:rPr>
          <w:rFonts w:cstheme="minorHAnsi"/>
          <w:sz w:val="18"/>
          <w:szCs w:val="18"/>
        </w:rPr>
        <w:t>l »</w:t>
      </w:r>
      <w:r w:rsidRPr="00ED3983">
        <w:rPr>
          <w:rFonts w:cstheme="minorHAnsi"/>
          <w:sz w:val="18"/>
          <w:szCs w:val="18"/>
        </w:rPr>
        <w:t xml:space="preserve">. </w:t>
      </w:r>
    </w:p>
    <w:p w:rsidR="009349D6" w:rsidRPr="00131450" w:rsidRDefault="009349D6" w:rsidP="009349D6">
      <w:pPr>
        <w:jc w:val="both"/>
        <w:rPr>
          <w:rFonts w:ascii="Cambria" w:hAnsi="Cambria"/>
        </w:rPr>
      </w:pPr>
      <w:r>
        <w:rPr>
          <w:rFonts w:ascii="Cambria" w:hAnsi="Cambria"/>
        </w:rPr>
        <w:t>La présente unité d’apprentissage</w:t>
      </w:r>
      <w:r w:rsidRPr="00131450">
        <w:rPr>
          <w:rFonts w:ascii="Cambria" w:hAnsi="Cambria"/>
        </w:rPr>
        <w:t xml:space="preserve"> est une introduction à la compréhension de la </w:t>
      </w:r>
      <w:r>
        <w:rPr>
          <w:rFonts w:ascii="Cambria" w:hAnsi="Cambria"/>
        </w:rPr>
        <w:t>soutenabilité et du concept de développement durable</w:t>
      </w:r>
      <w:r w:rsidRPr="00131450">
        <w:rPr>
          <w:rFonts w:ascii="Cambria" w:hAnsi="Cambria"/>
        </w:rPr>
        <w:t xml:space="preserve"> </w:t>
      </w:r>
      <w:r>
        <w:rPr>
          <w:rFonts w:ascii="Cambria" w:hAnsi="Cambria"/>
        </w:rPr>
        <w:t xml:space="preserve">selon la définition </w:t>
      </w:r>
      <w:r w:rsidRPr="00131450">
        <w:rPr>
          <w:rFonts w:ascii="Cambria" w:hAnsi="Cambria"/>
        </w:rPr>
        <w:t>adopté</w:t>
      </w:r>
      <w:r>
        <w:rPr>
          <w:rFonts w:ascii="Cambria" w:hAnsi="Cambria"/>
        </w:rPr>
        <w:t>e</w:t>
      </w:r>
      <w:r w:rsidRPr="00131450">
        <w:rPr>
          <w:rFonts w:ascii="Cambria" w:hAnsi="Cambria"/>
        </w:rPr>
        <w:t xml:space="preserve"> dans le partenariat GreenSkills4VET. Elle associe des apports à une approche éducative transformatrice qui permet aux apprenants d'améliorer leurs compétences d'autoréflexion et de réellement réfléchir et identifier les domaines de leur vie personnelle et professionnelle dans lesquels ils peuvent agir, afin de participer à créer et maintenir les conditions dans lesquelles l'homme et la nature peuvent exister en harmonie productive pour soutenir les générations présentes et futures. L'éducation en vue du développement durable doit se fonder sur des données factuelles ainsi que sur des valeurs d'apprentissage et remettre en question ses propres pratiques et comportements de vie afin d'en instaurer de plus durables. L'unité sur la logistique durable porte en particulier sur l'environnement et le trafic, sur les pratiques professionnelles en logistique pour préserver l'environnement et réduire les coûts financiers. </w:t>
      </w:r>
    </w:p>
    <w:p w:rsidR="009349D6" w:rsidRPr="00131450" w:rsidRDefault="009349D6" w:rsidP="009349D6">
      <w:pPr>
        <w:jc w:val="both"/>
        <w:rPr>
          <w:rFonts w:ascii="Cambria" w:hAnsi="Cambria"/>
        </w:rPr>
      </w:pPr>
      <w:r w:rsidRPr="00131450">
        <w:rPr>
          <w:rFonts w:ascii="Cambria" w:hAnsi="Cambria"/>
        </w:rPr>
        <w:t>5.</w:t>
      </w:r>
      <w:r w:rsidRPr="00131450">
        <w:rPr>
          <w:rFonts w:ascii="Cambria" w:hAnsi="Cambria"/>
        </w:rPr>
        <w:tab/>
        <w:t xml:space="preserve">Tous les pays partenaires ont accepté de prendre comme modèle de référence en </w:t>
      </w:r>
      <w:r w:rsidRPr="00131450">
        <w:rPr>
          <w:rFonts w:ascii="Cambria" w:hAnsi="Cambria"/>
        </w:rPr>
        <w:lastRenderedPageBreak/>
        <w:t>matière d'EDD le concept d'EDD à trois pilie</w:t>
      </w:r>
      <w:r>
        <w:rPr>
          <w:rFonts w:ascii="Cambria" w:hAnsi="Cambria"/>
        </w:rPr>
        <w:t>rs/dimensions de l'ONU. Comme la</w:t>
      </w:r>
      <w:r w:rsidRPr="00131450">
        <w:rPr>
          <w:rFonts w:ascii="Cambria" w:hAnsi="Cambria"/>
        </w:rPr>
        <w:t xml:space="preserve"> REL développé</w:t>
      </w:r>
      <w:r>
        <w:rPr>
          <w:rFonts w:ascii="Cambria" w:hAnsi="Cambria"/>
        </w:rPr>
        <w:t>e</w:t>
      </w:r>
      <w:r w:rsidRPr="00131450">
        <w:rPr>
          <w:rFonts w:ascii="Cambria" w:hAnsi="Cambria"/>
        </w:rPr>
        <w:t xml:space="preserve"> par le BFI est basé</w:t>
      </w:r>
      <w:r>
        <w:rPr>
          <w:rFonts w:ascii="Cambria" w:hAnsi="Cambria"/>
        </w:rPr>
        <w:t>e</w:t>
      </w:r>
      <w:r w:rsidRPr="00131450">
        <w:rPr>
          <w:rFonts w:ascii="Cambria" w:hAnsi="Cambria"/>
        </w:rPr>
        <w:t xml:space="preserve"> sur la compréhension commune de l'EDD qui a été définie au début du projet et se réfère aux 3 dimensions de la durabilité, nous pensons que notre REL devrait fonctionner d</w:t>
      </w:r>
      <w:r>
        <w:rPr>
          <w:rFonts w:ascii="Cambria" w:hAnsi="Cambria"/>
        </w:rPr>
        <w:t xml:space="preserve">ans tous les pays partenaires. </w:t>
      </w:r>
    </w:p>
    <w:p w:rsidR="009349D6" w:rsidRPr="00131450" w:rsidRDefault="009349D6" w:rsidP="009349D6">
      <w:pPr>
        <w:jc w:val="both"/>
        <w:rPr>
          <w:rFonts w:ascii="Cambria" w:hAnsi="Cambria"/>
        </w:rPr>
      </w:pPr>
      <w:r w:rsidRPr="00131450">
        <w:rPr>
          <w:rFonts w:ascii="Cambria" w:hAnsi="Cambria"/>
        </w:rPr>
        <w:t>6.</w:t>
      </w:r>
      <w:r w:rsidRPr="00131450">
        <w:rPr>
          <w:rFonts w:ascii="Cambria" w:hAnsi="Cambria"/>
        </w:rPr>
        <w:tab/>
      </w:r>
      <w:r>
        <w:rPr>
          <w:rFonts w:ascii="Cambria" w:hAnsi="Cambria"/>
        </w:rPr>
        <w:t xml:space="preserve">Mots-clés : </w:t>
      </w:r>
      <w:r w:rsidRPr="00131450">
        <w:rPr>
          <w:rFonts w:ascii="Cambria" w:hAnsi="Cambria"/>
        </w:rPr>
        <w:t>Croissance/développement personnel, réflexion sur soi, autonomisation,</w:t>
      </w:r>
      <w:r>
        <w:rPr>
          <w:rFonts w:ascii="Cambria" w:hAnsi="Cambria"/>
        </w:rPr>
        <w:t xml:space="preserve"> apprentissage</w:t>
      </w:r>
      <w:r w:rsidRPr="00131450">
        <w:rPr>
          <w:rFonts w:ascii="Cambria" w:hAnsi="Cambria"/>
        </w:rPr>
        <w:t xml:space="preserve"> centré sur l'apprenant, participatif, créativité, collaboration, applicable à la vie quotidienne, intégrer ses propres expériences, approche holistique, transformation de soi et de la société, production de connaissances hors du groupe, questionnement, concentration sur le processus d'apprentissage, agents de changement, sensibilisation accrue</w:t>
      </w:r>
      <w:r>
        <w:rPr>
          <w:rFonts w:ascii="Cambria" w:hAnsi="Cambria"/>
        </w:rPr>
        <w:t>.</w:t>
      </w:r>
    </w:p>
    <w:p w:rsidR="00131450" w:rsidRPr="00131450" w:rsidRDefault="009349D6" w:rsidP="00131450">
      <w:pPr>
        <w:jc w:val="both"/>
        <w:rPr>
          <w:rFonts w:ascii="Cambria" w:hAnsi="Cambria"/>
        </w:rPr>
      </w:pPr>
      <w:r>
        <w:rPr>
          <w:rFonts w:ascii="Cambria" w:hAnsi="Cambria"/>
          <w:b/>
        </w:rPr>
        <w:t>A propos des</w:t>
      </w:r>
      <w:r w:rsidR="00131450" w:rsidRPr="009349D6">
        <w:rPr>
          <w:rFonts w:ascii="Cambria" w:hAnsi="Cambria"/>
          <w:b/>
        </w:rPr>
        <w:t xml:space="preserve"> REL, point de vue personnel</w:t>
      </w:r>
      <w:r w:rsidR="00131450" w:rsidRPr="00131450">
        <w:rPr>
          <w:rFonts w:ascii="Cambria" w:hAnsi="Cambria"/>
        </w:rPr>
        <w:t xml:space="preserve"> :</w:t>
      </w:r>
    </w:p>
    <w:p w:rsidR="00131450" w:rsidRPr="006932C2" w:rsidRDefault="009349D6" w:rsidP="00131450">
      <w:pPr>
        <w:jc w:val="both"/>
        <w:rPr>
          <w:rFonts w:ascii="Cambria" w:hAnsi="Cambria"/>
        </w:rPr>
      </w:pPr>
      <w:r>
        <w:rPr>
          <w:rFonts w:ascii="Cambria" w:hAnsi="Cambria"/>
        </w:rPr>
        <w:t>Lors du</w:t>
      </w:r>
      <w:r w:rsidR="00131450" w:rsidRPr="00131450">
        <w:rPr>
          <w:rFonts w:ascii="Cambria" w:hAnsi="Cambria"/>
        </w:rPr>
        <w:t xml:space="preserve"> processus </w:t>
      </w:r>
      <w:r>
        <w:rPr>
          <w:rFonts w:ascii="Cambria" w:hAnsi="Cambria"/>
        </w:rPr>
        <w:t>d’élaboration de ces REL</w:t>
      </w:r>
      <w:r w:rsidR="00131450" w:rsidRPr="00131450">
        <w:rPr>
          <w:rFonts w:ascii="Cambria" w:hAnsi="Cambria"/>
        </w:rPr>
        <w:t>,</w:t>
      </w:r>
      <w:r>
        <w:rPr>
          <w:rFonts w:ascii="Cambria" w:hAnsi="Cambria"/>
        </w:rPr>
        <w:t xml:space="preserve"> nous avons pris conscience que</w:t>
      </w:r>
      <w:r w:rsidR="00131450" w:rsidRPr="00131450">
        <w:rPr>
          <w:rFonts w:ascii="Cambria" w:hAnsi="Cambria"/>
        </w:rPr>
        <w:t xml:space="preserve"> la durabilité et l'EDD ne sont pas encore un matériel transversal dans l'éducation des adultes et la formation professionnelle</w:t>
      </w:r>
      <w:r>
        <w:rPr>
          <w:rFonts w:ascii="Cambria" w:hAnsi="Cambria"/>
        </w:rPr>
        <w:t xml:space="preserve"> en Autriche</w:t>
      </w:r>
      <w:r w:rsidR="00131450" w:rsidRPr="00131450">
        <w:rPr>
          <w:rFonts w:ascii="Cambria" w:hAnsi="Cambria"/>
        </w:rPr>
        <w:t xml:space="preserve"> et qu'elles le sont beaucoup moins dans la formation professionnelle en logistique. </w:t>
      </w:r>
      <w:r w:rsidR="006932C2">
        <w:rPr>
          <w:rFonts w:ascii="Cambria" w:hAnsi="Cambria"/>
        </w:rPr>
        <w:t>Pour autant, traiter de la</w:t>
      </w:r>
      <w:r w:rsidR="00131450" w:rsidRPr="00131450">
        <w:rPr>
          <w:rFonts w:ascii="Cambria" w:hAnsi="Cambria"/>
        </w:rPr>
        <w:t xml:space="preserve"> </w:t>
      </w:r>
      <w:r w:rsidR="006932C2">
        <w:rPr>
          <w:rFonts w:ascii="Cambria" w:hAnsi="Cambria"/>
        </w:rPr>
        <w:t>soutenabilit</w:t>
      </w:r>
      <w:r w:rsidR="00131450" w:rsidRPr="00131450">
        <w:rPr>
          <w:rFonts w:ascii="Cambria" w:hAnsi="Cambria"/>
        </w:rPr>
        <w:t xml:space="preserve">é et de l'EDD dans l'éducation des adultes </w:t>
      </w:r>
      <w:r w:rsidR="006932C2">
        <w:rPr>
          <w:rFonts w:ascii="Cambria" w:hAnsi="Cambria"/>
        </w:rPr>
        <w:t>et la formation professionnelle</w:t>
      </w:r>
      <w:r w:rsidR="00131450" w:rsidRPr="00131450">
        <w:rPr>
          <w:rFonts w:ascii="Cambria" w:hAnsi="Cambria"/>
        </w:rPr>
        <w:t xml:space="preserve"> est, à notre avis, tout à fait nécessaire et présente un grand potentiel d'innovation et de transformation.</w:t>
      </w:r>
    </w:p>
    <w:p w:rsidR="00131450" w:rsidRPr="006932C2" w:rsidRDefault="00131450" w:rsidP="00131450">
      <w:pPr>
        <w:jc w:val="both"/>
        <w:rPr>
          <w:rFonts w:ascii="Cambria" w:hAnsi="Cambria"/>
        </w:rPr>
      </w:pPr>
      <w:r w:rsidRPr="006932C2">
        <w:rPr>
          <w:rFonts w:ascii="Cambria" w:hAnsi="Cambria"/>
        </w:rPr>
        <w:t xml:space="preserve">Aborder le sujet de la durabilité apporte un potentiel d'autonomisation, de changement et de transformation à de nombreux niveaux (personnel, social, environnemental, économique, etc.) et pourrait et devrait être inclus dans tout programme de formation / éducation. Cela exige également une nouvelle approche de l'éducation qui met l'accent sur l'apprenant et sur la prise en charge de sa vie et de ses actions.  Pour les formateurs, afin de guider ces processus de changement et de transformation </w:t>
      </w:r>
      <w:r w:rsidR="006932C2" w:rsidRPr="006932C2">
        <w:rPr>
          <w:rFonts w:ascii="Cambria" w:hAnsi="Cambria"/>
        </w:rPr>
        <w:t>des</w:t>
      </w:r>
      <w:r w:rsidRPr="006932C2">
        <w:rPr>
          <w:rFonts w:ascii="Cambria" w:hAnsi="Cambria"/>
        </w:rPr>
        <w:t xml:space="preserve"> apprenants, il est indispensable de s'interroger et d'adopter de nouvelles perspectives,</w:t>
      </w:r>
      <w:r w:rsidR="006932C2" w:rsidRPr="006932C2">
        <w:rPr>
          <w:rFonts w:ascii="Cambria" w:hAnsi="Cambria"/>
        </w:rPr>
        <w:t xml:space="preserve"> outils, méthodes et attitudes tout au long du</w:t>
      </w:r>
      <w:r w:rsidRPr="006932C2">
        <w:rPr>
          <w:rFonts w:ascii="Cambria" w:hAnsi="Cambria"/>
        </w:rPr>
        <w:t xml:space="preserve"> processus d'apprentissage.</w:t>
      </w:r>
    </w:p>
    <w:sectPr w:rsidR="00131450" w:rsidRPr="006932C2" w:rsidSect="00390D51">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08B" w:rsidRDefault="0082108B" w:rsidP="008953D8">
      <w:pPr>
        <w:spacing w:after="0" w:line="240" w:lineRule="auto"/>
      </w:pPr>
      <w:r>
        <w:separator/>
      </w:r>
    </w:p>
  </w:endnote>
  <w:endnote w:type="continuationSeparator" w:id="0">
    <w:p w:rsidR="0082108B" w:rsidRDefault="0082108B" w:rsidP="0089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8A" w:rsidRDefault="00037D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227" w:type="pct"/>
      <w:tblLayout w:type="fixed"/>
      <w:tblLook w:val="04A0" w:firstRow="1" w:lastRow="0" w:firstColumn="1" w:lastColumn="0" w:noHBand="0" w:noVBand="1"/>
    </w:tblPr>
    <w:tblGrid>
      <w:gridCol w:w="8999"/>
      <w:gridCol w:w="711"/>
    </w:tblGrid>
    <w:sdt>
      <w:sdtPr>
        <w:rPr>
          <w:rFonts w:cs="Arial"/>
          <w:color w:val="FF0000"/>
          <w:sz w:val="18"/>
          <w:szCs w:val="18"/>
          <w:lang w:val="en-GB"/>
        </w:rPr>
        <w:id w:val="1863326374"/>
        <w:docPartObj>
          <w:docPartGallery w:val="Page Numbers (Bottom of Page)"/>
          <w:docPartUnique/>
        </w:docPartObj>
      </w:sdtPr>
      <w:sdtEndPr>
        <w:rPr>
          <w:rFonts w:cstheme="minorBidi"/>
          <w:color w:val="auto"/>
          <w:sz w:val="22"/>
          <w:szCs w:val="22"/>
          <w:lang w:val="fr-FR"/>
        </w:rPr>
      </w:sdtEndPr>
      <w:sdtContent>
        <w:tr w:rsidR="001809CB" w:rsidTr="001809CB">
          <w:trPr>
            <w:trHeight w:val="727"/>
          </w:trPr>
          <w:tc>
            <w:tcPr>
              <w:tcW w:w="4634" w:type="pct"/>
              <w:tcBorders>
                <w:right w:val="triple" w:sz="4" w:space="0" w:color="5B9BD5" w:themeColor="accent1"/>
              </w:tcBorders>
            </w:tcPr>
            <w:tbl>
              <w:tblPr>
                <w:tblStyle w:val="Tabellenraster"/>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6804"/>
              </w:tblGrid>
              <w:tr w:rsidR="001809CB" w:rsidRPr="005F6330" w:rsidTr="001809CB">
                <w:tc>
                  <w:tcPr>
                    <w:tcW w:w="8642" w:type="dxa"/>
                    <w:gridSpan w:val="2"/>
                  </w:tcPr>
                  <w:p w:rsidR="001809CB" w:rsidRPr="005F6330" w:rsidRDefault="001809CB" w:rsidP="008953D8">
                    <w:pPr>
                      <w:pStyle w:val="Fuzeile"/>
                      <w:framePr w:hSpace="187" w:wrap="around" w:vAnchor="page" w:hAnchor="margin" w:xAlign="center" w:yAlign="bottom"/>
                      <w:jc w:val="both"/>
                      <w:rPr>
                        <w:rFonts w:cs="Arial"/>
                        <w:sz w:val="18"/>
                        <w:szCs w:val="18"/>
                        <w:lang w:val="en-GB"/>
                      </w:rPr>
                    </w:pPr>
                  </w:p>
                  <w:p w:rsidR="001809CB" w:rsidRPr="00A80A20" w:rsidRDefault="001809CB" w:rsidP="005F6330">
                    <w:pPr>
                      <w:pStyle w:val="Fuzeile"/>
                      <w:framePr w:hSpace="187" w:wrap="around" w:vAnchor="page" w:hAnchor="margin" w:xAlign="center" w:yAlign="bottom"/>
                      <w:jc w:val="both"/>
                      <w:rPr>
                        <w:rFonts w:cs="Arial"/>
                        <w:color w:val="FF0000"/>
                        <w:sz w:val="18"/>
                        <w:szCs w:val="18"/>
                      </w:rPr>
                    </w:pPr>
                    <w:r w:rsidRPr="005F6330">
                      <w:rPr>
                        <w:rFonts w:cs="Arial"/>
                        <w:sz w:val="18"/>
                        <w:szCs w:val="18"/>
                      </w:rPr>
                      <w:t xml:space="preserve">Ce projet a été financé avec le support de la Commission Européenne. </w:t>
                    </w:r>
                    <w:r w:rsidRPr="00A80A20">
                      <w:rPr>
                        <w:rFonts w:cs="Arial"/>
                        <w:sz w:val="18"/>
                        <w:szCs w:val="18"/>
                      </w:rPr>
                      <w:t xml:space="preserve">Cette publication n’engage que ses auteurs. </w:t>
                    </w:r>
                    <w:r w:rsidRPr="005F6330">
                      <w:rPr>
                        <w:rFonts w:cs="Arial"/>
                        <w:sz w:val="18"/>
                        <w:szCs w:val="18"/>
                      </w:rPr>
                      <w:t xml:space="preserve">La Commission ne saurait être tenue responsable de l’usage qui pourrait </w:t>
                    </w:r>
                    <w:r>
                      <w:rPr>
                        <w:rFonts w:cs="Arial"/>
                        <w:sz w:val="18"/>
                        <w:szCs w:val="18"/>
                      </w:rPr>
                      <w:t>être fait des informations conte</w:t>
                    </w:r>
                    <w:r w:rsidRPr="005F6330">
                      <w:rPr>
                        <w:rFonts w:cs="Arial"/>
                        <w:sz w:val="18"/>
                        <w:szCs w:val="18"/>
                      </w:rPr>
                      <w:t xml:space="preserve">nues dans ce document.  </w:t>
                    </w:r>
                  </w:p>
                </w:tc>
              </w:tr>
              <w:tr w:rsidR="001809CB" w:rsidRPr="00E379A4" w:rsidTr="001809CB">
                <w:trPr>
                  <w:trHeight w:val="842"/>
                </w:trPr>
                <w:tc>
                  <w:tcPr>
                    <w:tcW w:w="1838" w:type="dxa"/>
                  </w:tcPr>
                  <w:p w:rsidR="001809CB" w:rsidRPr="00153292" w:rsidRDefault="001809CB" w:rsidP="008953D8">
                    <w:pPr>
                      <w:pStyle w:val="Fuzeile"/>
                      <w:framePr w:hSpace="187" w:wrap="around" w:vAnchor="page" w:hAnchor="margin" w:xAlign="center" w:yAlign="bottom"/>
                      <w:rPr>
                        <w:rFonts w:ascii="Arial" w:hAnsi="Arial" w:cs="Arial"/>
                        <w:sz w:val="6"/>
                        <w:szCs w:val="6"/>
                        <w:lang w:val="en-GB"/>
                      </w:rPr>
                    </w:pPr>
                    <w:r>
                      <w:rPr>
                        <w:noProof/>
                        <w:lang w:val="de-DE" w:eastAsia="de-DE"/>
                      </w:rPr>
                      <w:drawing>
                        <wp:inline distT="0" distB="0" distL="0" distR="0">
                          <wp:extent cx="1029970" cy="375920"/>
                          <wp:effectExtent l="0" t="0" r="0" b="5080"/>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29970" cy="375920"/>
                                  </a:xfrm>
                                  <a:prstGeom prst="rect">
                                    <a:avLst/>
                                  </a:prstGeom>
                                </pic:spPr>
                              </pic:pic>
                            </a:graphicData>
                          </a:graphic>
                        </wp:inline>
                      </w:drawing>
                    </w:r>
                  </w:p>
                </w:tc>
                <w:tc>
                  <w:tcPr>
                    <w:tcW w:w="6804" w:type="dxa"/>
                  </w:tcPr>
                  <w:p w:rsidR="001809CB" w:rsidRPr="00F55596" w:rsidRDefault="001809CB" w:rsidP="008953D8">
                    <w:pPr>
                      <w:framePr w:hSpace="187" w:wrap="around" w:vAnchor="page" w:hAnchor="margin" w:xAlign="center" w:yAlign="bottom"/>
                      <w:rPr>
                        <w:rFonts w:ascii="Arial" w:hAnsi="Arial" w:cs="Arial"/>
                        <w:sz w:val="16"/>
                        <w:szCs w:val="16"/>
                        <w:lang w:val="en-GB"/>
                      </w:rPr>
                    </w:pPr>
                    <w:r>
                      <w:rPr>
                        <w:sz w:val="18"/>
                        <w:szCs w:val="18"/>
                        <w:lang w:val="en-GB"/>
                      </w:rPr>
                      <w:t>Birgit Kaps / Gabriele Winkler</w:t>
                    </w:r>
                    <w:r w:rsidRPr="00756755">
                      <w:rPr>
                        <w:sz w:val="18"/>
                        <w:szCs w:val="18"/>
                        <w:lang w:val="en-GB"/>
                      </w:rPr>
                      <w:t xml:space="preserve"> - </w:t>
                    </w:r>
                    <w:r>
                      <w:rPr>
                        <w:rFonts w:cs="Arial"/>
                        <w:color w:val="000000" w:themeColor="text1"/>
                        <w:sz w:val="18"/>
                        <w:szCs w:val="18"/>
                        <w:lang w:val="en-GB"/>
                      </w:rPr>
                      <w:t>The Attribution-</w:t>
                    </w:r>
                    <w:r w:rsidRPr="00756755">
                      <w:rPr>
                        <w:rFonts w:cs="Arial"/>
                        <w:color w:val="000000" w:themeColor="text1"/>
                        <w:sz w:val="18"/>
                        <w:szCs w:val="18"/>
                        <w:lang w:val="en-GB"/>
                      </w:rPr>
                      <w:t xml:space="preserve">ShareAlike, or </w:t>
                    </w:r>
                    <w:r>
                      <w:rPr>
                        <w:rFonts w:cs="Arial"/>
                        <w:b/>
                        <w:bCs/>
                        <w:color w:val="000000" w:themeColor="text1"/>
                        <w:sz w:val="18"/>
                        <w:szCs w:val="18"/>
                        <w:lang w:val="en-GB"/>
                      </w:rPr>
                      <w:t>CC-BY</w:t>
                    </w:r>
                    <w:r w:rsidRPr="00756755">
                      <w:rPr>
                        <w:rFonts w:cs="Arial"/>
                        <w:b/>
                        <w:bCs/>
                        <w:color w:val="000000" w:themeColor="text1"/>
                        <w:sz w:val="18"/>
                        <w:szCs w:val="18"/>
                        <w:lang w:val="en-GB"/>
                      </w:rPr>
                      <w:t>-SA</w:t>
                    </w:r>
                    <w:r>
                      <w:rPr>
                        <w:rFonts w:cs="Arial"/>
                        <w:color w:val="000000" w:themeColor="text1"/>
                        <w:sz w:val="18"/>
                        <w:szCs w:val="18"/>
                        <w:lang w:val="en-GB"/>
                      </w:rPr>
                      <w:t>, allows</w:t>
                    </w:r>
                    <w:r w:rsidRPr="00756755">
                      <w:rPr>
                        <w:rFonts w:cs="Arial"/>
                        <w:color w:val="000000" w:themeColor="text1"/>
                        <w:sz w:val="18"/>
                        <w:szCs w:val="18"/>
                        <w:lang w:val="en-GB"/>
                      </w:rPr>
                      <w:t xml:space="preserve"> to share new material under the same conditions, all with due credit.</w:t>
                    </w:r>
                  </w:p>
                </w:tc>
              </w:tr>
            </w:tbl>
            <w:p w:rsidR="001809CB" w:rsidRPr="00E2129F" w:rsidRDefault="001809CB" w:rsidP="008953D8">
              <w:pPr>
                <w:tabs>
                  <w:tab w:val="left" w:pos="620"/>
                  <w:tab w:val="center" w:pos="4320"/>
                  <w:tab w:val="left" w:pos="5160"/>
                  <w:tab w:val="right" w:pos="7269"/>
                </w:tabs>
                <w:spacing w:after="0" w:line="240" w:lineRule="auto"/>
                <w:rPr>
                  <w:rFonts w:asciiTheme="majorHAnsi" w:eastAsiaTheme="majorEastAsia" w:hAnsiTheme="majorHAnsi" w:cstheme="majorBidi"/>
                  <w:sz w:val="20"/>
                  <w:szCs w:val="20"/>
                  <w:lang w:val="en-GB"/>
                </w:rPr>
              </w:pPr>
              <w:r w:rsidRPr="00E2129F">
                <w:rPr>
                  <w:rFonts w:asciiTheme="majorHAnsi" w:eastAsiaTheme="majorEastAsia" w:hAnsiTheme="majorHAnsi" w:cstheme="majorBidi"/>
                  <w:sz w:val="20"/>
                  <w:szCs w:val="20"/>
                  <w:lang w:val="en-GB"/>
                </w:rPr>
                <w:tab/>
              </w:r>
              <w:r w:rsidRPr="00E2129F">
                <w:rPr>
                  <w:rFonts w:asciiTheme="majorHAnsi" w:eastAsiaTheme="majorEastAsia" w:hAnsiTheme="majorHAnsi" w:cstheme="majorBidi"/>
                  <w:sz w:val="20"/>
                  <w:szCs w:val="20"/>
                  <w:lang w:val="en-GB"/>
                </w:rPr>
                <w:tab/>
              </w:r>
              <w:r w:rsidRPr="00E2129F">
                <w:rPr>
                  <w:rFonts w:asciiTheme="majorHAnsi" w:eastAsiaTheme="majorEastAsia" w:hAnsiTheme="majorHAnsi" w:cstheme="majorBidi"/>
                  <w:sz w:val="20"/>
                  <w:szCs w:val="20"/>
                  <w:lang w:val="en-GB"/>
                </w:rPr>
                <w:tab/>
              </w:r>
              <w:r w:rsidRPr="00E2129F">
                <w:rPr>
                  <w:rFonts w:asciiTheme="majorHAnsi" w:eastAsiaTheme="majorEastAsia" w:hAnsiTheme="majorHAnsi" w:cstheme="majorBidi"/>
                  <w:sz w:val="20"/>
                  <w:szCs w:val="20"/>
                  <w:lang w:val="en-GB"/>
                </w:rPr>
                <w:tab/>
              </w:r>
            </w:p>
          </w:tc>
          <w:tc>
            <w:tcPr>
              <w:tcW w:w="366" w:type="pct"/>
              <w:tcBorders>
                <w:left w:val="triple" w:sz="4" w:space="0" w:color="5B9BD5" w:themeColor="accent1"/>
              </w:tcBorders>
            </w:tcPr>
            <w:p w:rsidR="001809CB" w:rsidRDefault="00390D51" w:rsidP="008953D8">
              <w:pPr>
                <w:tabs>
                  <w:tab w:val="left" w:pos="1490"/>
                </w:tabs>
                <w:rPr>
                  <w:rFonts w:asciiTheme="majorHAnsi" w:eastAsiaTheme="majorEastAsia" w:hAnsiTheme="majorHAnsi" w:cstheme="majorBidi"/>
                  <w:sz w:val="28"/>
                  <w:szCs w:val="28"/>
                </w:rPr>
              </w:pPr>
              <w:r>
                <w:fldChar w:fldCharType="begin"/>
              </w:r>
              <w:r w:rsidR="001809CB">
                <w:instrText>PAGE    \* MERGEFORMAT</w:instrText>
              </w:r>
              <w:r>
                <w:fldChar w:fldCharType="separate"/>
              </w:r>
              <w:r w:rsidR="00B905C5">
                <w:rPr>
                  <w:noProof/>
                </w:rPr>
                <w:t>1</w:t>
              </w:r>
              <w:r>
                <w:fldChar w:fldCharType="end"/>
              </w:r>
              <w:r w:rsidR="001809CB">
                <w:t>/11</w:t>
              </w:r>
            </w:p>
          </w:tc>
        </w:tr>
      </w:sdtContent>
    </w:sdt>
  </w:tbl>
  <w:p w:rsidR="001809CB" w:rsidRPr="008953D8" w:rsidRDefault="001809CB" w:rsidP="008953D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8A" w:rsidRDefault="00037D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08B" w:rsidRDefault="0082108B" w:rsidP="008953D8">
      <w:pPr>
        <w:spacing w:after="0" w:line="240" w:lineRule="auto"/>
      </w:pPr>
      <w:r>
        <w:separator/>
      </w:r>
    </w:p>
  </w:footnote>
  <w:footnote w:type="continuationSeparator" w:id="0">
    <w:p w:rsidR="0082108B" w:rsidRDefault="0082108B" w:rsidP="00895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8A" w:rsidRDefault="00037D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CB" w:rsidRPr="00037D8A" w:rsidRDefault="00037D8A" w:rsidP="00037D8A">
    <w:pPr>
      <w:spacing w:after="0"/>
      <w:ind w:left="5670" w:hanging="5670"/>
    </w:pPr>
    <w:r>
      <w:rPr>
        <w:noProof/>
        <w:lang w:val="de-DE" w:eastAsia="de-DE"/>
      </w:rPr>
      <w:drawing>
        <wp:anchor distT="0" distB="0" distL="114300" distR="114300" simplePos="0" relativeHeight="251660288" behindDoc="0" locked="0" layoutInCell="1" allowOverlap="1">
          <wp:simplePos x="0" y="0"/>
          <wp:positionH relativeFrom="column">
            <wp:posOffset>1993084</wp:posOffset>
          </wp:positionH>
          <wp:positionV relativeFrom="paragraph">
            <wp:posOffset>112868</wp:posOffset>
          </wp:positionV>
          <wp:extent cx="923356" cy="439387"/>
          <wp:effectExtent l="19050" t="0" r="0" b="0"/>
          <wp:wrapNone/>
          <wp:docPr id="5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356" cy="439387"/>
                  </a:xfrm>
                  <a:prstGeom prst="rect">
                    <a:avLst/>
                  </a:prstGeom>
                </pic:spPr>
              </pic:pic>
            </a:graphicData>
          </a:graphic>
        </wp:anchor>
      </w:drawing>
    </w:r>
    <w:sdt>
      <w:sdtPr>
        <w:id w:val="806058285"/>
        <w:docPartObj>
          <w:docPartGallery w:val="Page Numbers (Margins)"/>
          <w:docPartUnique/>
        </w:docPartObj>
      </w:sdtPr>
      <w:sdtEndPr/>
      <w:sdtContent>
        <w:r w:rsidR="0082108B">
          <w:rPr>
            <w:noProof/>
            <w:lang w:eastAsia="de-DE"/>
          </w:rPr>
          <w:pict>
            <v:rect id="Rechteck 1" o:spid="_x0000_s2049" style="position:absolute;left:0;text-align:left;margin-left:35.6pt;margin-top:0;width:57.3pt;height:25.95pt;z-index:251661312;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llj1WAAgAA&#10;BAUAAA4AAAAAAAAAAAAAAAAALgIAAGRycy9lMm9Eb2MueG1sUEsBAi0AFAAGAAgAAAAhAHGmhoPc&#10;AAAABAEAAA8AAAAAAAAAAAAAAAAA2gQAAGRycy9kb3ducmV2LnhtbFBLBQYAAAAABAAEAPMAAADj&#10;BQAAAAA=&#10;" o:allowincell="f" stroked="f">
              <v:textbox style="mso-next-textbox:#Rechteck 1">
                <w:txbxContent>
                  <w:p w:rsidR="00037D8A" w:rsidRDefault="00504DD3" w:rsidP="00037D8A">
                    <w:pPr>
                      <w:pBdr>
                        <w:bottom w:val="single" w:sz="4" w:space="1" w:color="auto"/>
                      </w:pBdr>
                    </w:pPr>
                    <w:r>
                      <w:fldChar w:fldCharType="begin"/>
                    </w:r>
                    <w:r>
                      <w:instrText>PAGE   \* MERGEFORMAT</w:instrText>
                    </w:r>
                    <w:r>
                      <w:fldChar w:fldCharType="separate"/>
                    </w:r>
                    <w:r w:rsidR="00B905C5">
                      <w:rPr>
                        <w:noProof/>
                      </w:rPr>
                      <w:t>1</w:t>
                    </w:r>
                    <w:r>
                      <w:rPr>
                        <w:noProof/>
                      </w:rPr>
                      <w:fldChar w:fldCharType="end"/>
                    </w:r>
                  </w:p>
                </w:txbxContent>
              </v:textbox>
              <w10:wrap anchorx="margin" anchory="margin"/>
            </v:rect>
          </w:pict>
        </w:r>
      </w:sdtContent>
    </w:sdt>
    <w:r>
      <w:rPr>
        <w:noProof/>
        <w:lang w:val="de-DE" w:eastAsia="de-DE"/>
      </w:rPr>
      <w:drawing>
        <wp:inline distT="0" distB="0" distL="0" distR="0">
          <wp:extent cx="914400" cy="542925"/>
          <wp:effectExtent l="0" t="0" r="0" b="0"/>
          <wp:docPr id="56" name="Grafik 13"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3" descr="GrennSkillsInRed"/>
                  <pic:cNvPicPr>
                    <a:picLocks noChangeAspect="1" noChangeArrowheads="1"/>
                  </pic:cNvPicPr>
                </pic:nvPicPr>
                <pic:blipFill>
                  <a:blip r:embed="rId2"/>
                  <a:stretch>
                    <a:fillRect/>
                  </a:stretch>
                </pic:blipFill>
                <pic:spPr bwMode="auto">
                  <a:xfrm>
                    <a:off x="0" y="0"/>
                    <a:ext cx="914400" cy="542925"/>
                  </a:xfrm>
                  <a:prstGeom prst="rect">
                    <a:avLst/>
                  </a:prstGeom>
                </pic:spPr>
              </pic:pic>
            </a:graphicData>
          </a:graphic>
        </wp:inline>
      </w:drawing>
    </w:r>
    <w:r>
      <w:rPr>
        <w:lang w:eastAsia="de-DE"/>
      </w:rPr>
      <w:tab/>
    </w:r>
    <w:r>
      <w:rPr>
        <w:noProof/>
        <w:lang w:val="de-DE" w:eastAsia="de-DE"/>
      </w:rPr>
      <w:drawing>
        <wp:inline distT="0" distB="0" distL="0" distR="0">
          <wp:extent cx="1910715" cy="546735"/>
          <wp:effectExtent l="0" t="0" r="0" b="0"/>
          <wp:docPr id="57" name="Grafik 14"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4" descr="Bildergebnis für co-funded by the european union logo"/>
                  <pic:cNvPicPr>
                    <a:picLocks noChangeAspect="1" noChangeArrowheads="1"/>
                  </pic:cNvPicPr>
                </pic:nvPicPr>
                <pic:blipFill>
                  <a:blip r:embed="rId3"/>
                  <a:stretch>
                    <a:fillRect/>
                  </a:stretch>
                </pic:blipFill>
                <pic:spPr bwMode="auto">
                  <a:xfrm>
                    <a:off x="0" y="0"/>
                    <a:ext cx="1910715" cy="546735"/>
                  </a:xfrm>
                  <a:prstGeom prst="rect">
                    <a:avLst/>
                  </a:prstGeom>
                </pic:spPr>
              </pic:pic>
            </a:graphicData>
          </a:graphic>
        </wp:inline>
      </w:drawing>
    </w:r>
    <w:r>
      <w:rPr>
        <w:lang w:eastAsia="de-DE"/>
      </w:rPr>
      <w:br/>
    </w:r>
    <w:r>
      <w:rPr>
        <w:b/>
        <w:sz w:val="18"/>
        <w:szCs w:val="18"/>
        <w:lang w:val="en-US"/>
      </w:rPr>
      <w:t xml:space="preserve">          2016-1-DEO2-KA202-003386</w:t>
    </w:r>
    <w:r>
      <w:rPr>
        <w:lang w:eastAsia="de-DE"/>
      </w:rPr>
      <w:t xml:space="preserve"> </w:t>
    </w:r>
    <w:r w:rsidRPr="00840ECE">
      <w:t xml:space="preserve"> </w:t>
    </w:r>
    <w:r w:rsidRPr="005A34AC">
      <w:rPr>
        <w:noProof/>
        <w:lang w:eastAsia="de-A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8A" w:rsidRDefault="00037D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29C"/>
    <w:multiLevelType w:val="multilevel"/>
    <w:tmpl w:val="8BB04BC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180D5B90"/>
    <w:multiLevelType w:val="multilevel"/>
    <w:tmpl w:val="FE627FA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F996B34"/>
    <w:multiLevelType w:val="multilevel"/>
    <w:tmpl w:val="047438EE"/>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3" w15:restartNumberingAfterBreak="0">
    <w:nsid w:val="24DF4A4D"/>
    <w:multiLevelType w:val="hybridMultilevel"/>
    <w:tmpl w:val="5E4E4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B17735"/>
    <w:multiLevelType w:val="hybridMultilevel"/>
    <w:tmpl w:val="57501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E83B1D"/>
    <w:multiLevelType w:val="hybridMultilevel"/>
    <w:tmpl w:val="9F48F568"/>
    <w:lvl w:ilvl="0" w:tplc="5C10495A">
      <w:start w:val="1"/>
      <w:numFmt w:val="decimal"/>
      <w:lvlText w:val="%1."/>
      <w:lvlJc w:val="left"/>
      <w:pPr>
        <w:ind w:left="360" w:hanging="360"/>
      </w:pPr>
      <w:rPr>
        <w:rFonts w:hint="default"/>
        <w:color w:val="auto"/>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2CFB53D7"/>
    <w:multiLevelType w:val="multilevel"/>
    <w:tmpl w:val="047438E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33C41B0F"/>
    <w:multiLevelType w:val="multilevel"/>
    <w:tmpl w:val="047438E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51EA3F32"/>
    <w:multiLevelType w:val="multilevel"/>
    <w:tmpl w:val="047438EE"/>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15:restartNumberingAfterBreak="0">
    <w:nsid w:val="6EFA49FE"/>
    <w:multiLevelType w:val="hybridMultilevel"/>
    <w:tmpl w:val="AC0E29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945661"/>
    <w:multiLevelType w:val="multilevel"/>
    <w:tmpl w:val="047438E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7F7B5A61"/>
    <w:multiLevelType w:val="hybridMultilevel"/>
    <w:tmpl w:val="72E41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11"/>
  </w:num>
  <w:num w:numId="5">
    <w:abstractNumId w:val="7"/>
  </w:num>
  <w:num w:numId="6">
    <w:abstractNumId w:val="10"/>
  </w:num>
  <w:num w:numId="7">
    <w:abstractNumId w:val="6"/>
  </w:num>
  <w:num w:numId="8">
    <w:abstractNumId w:val="5"/>
  </w:num>
  <w:num w:numId="9">
    <w:abstractNumId w:val="8"/>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53D8"/>
    <w:rsid w:val="00023A9B"/>
    <w:rsid w:val="0003259A"/>
    <w:rsid w:val="00037D8A"/>
    <w:rsid w:val="00063F49"/>
    <w:rsid w:val="00064466"/>
    <w:rsid w:val="000A3C89"/>
    <w:rsid w:val="000A4045"/>
    <w:rsid w:val="000B06B2"/>
    <w:rsid w:val="000D1E62"/>
    <w:rsid w:val="000E3FCE"/>
    <w:rsid w:val="000E6EED"/>
    <w:rsid w:val="0011560E"/>
    <w:rsid w:val="00131450"/>
    <w:rsid w:val="00166305"/>
    <w:rsid w:val="0017739C"/>
    <w:rsid w:val="001809CB"/>
    <w:rsid w:val="0018509D"/>
    <w:rsid w:val="00186B80"/>
    <w:rsid w:val="001C0FFB"/>
    <w:rsid w:val="001C43F3"/>
    <w:rsid w:val="001D58C7"/>
    <w:rsid w:val="001E271B"/>
    <w:rsid w:val="00201019"/>
    <w:rsid w:val="00236AA2"/>
    <w:rsid w:val="0025627F"/>
    <w:rsid w:val="00313DFF"/>
    <w:rsid w:val="00345B60"/>
    <w:rsid w:val="00370004"/>
    <w:rsid w:val="0037658C"/>
    <w:rsid w:val="00390D51"/>
    <w:rsid w:val="00391253"/>
    <w:rsid w:val="003A4915"/>
    <w:rsid w:val="003C3E7C"/>
    <w:rsid w:val="003E38CC"/>
    <w:rsid w:val="003F7E3C"/>
    <w:rsid w:val="00407EE2"/>
    <w:rsid w:val="00461C4B"/>
    <w:rsid w:val="004C45E2"/>
    <w:rsid w:val="004C5FCE"/>
    <w:rsid w:val="004C63C4"/>
    <w:rsid w:val="00504DD3"/>
    <w:rsid w:val="00511A06"/>
    <w:rsid w:val="005228DD"/>
    <w:rsid w:val="00550644"/>
    <w:rsid w:val="005524F4"/>
    <w:rsid w:val="00567F03"/>
    <w:rsid w:val="0057179D"/>
    <w:rsid w:val="00585281"/>
    <w:rsid w:val="00594397"/>
    <w:rsid w:val="005E153B"/>
    <w:rsid w:val="005F0EB0"/>
    <w:rsid w:val="005F6330"/>
    <w:rsid w:val="0062016A"/>
    <w:rsid w:val="006932C2"/>
    <w:rsid w:val="00693541"/>
    <w:rsid w:val="006C0FFC"/>
    <w:rsid w:val="006F5D7A"/>
    <w:rsid w:val="006F7290"/>
    <w:rsid w:val="00716556"/>
    <w:rsid w:val="00716FFA"/>
    <w:rsid w:val="0072725F"/>
    <w:rsid w:val="00727409"/>
    <w:rsid w:val="00744BAF"/>
    <w:rsid w:val="007841B7"/>
    <w:rsid w:val="007A3EC6"/>
    <w:rsid w:val="007B3DB9"/>
    <w:rsid w:val="007B467F"/>
    <w:rsid w:val="0082108B"/>
    <w:rsid w:val="00835E72"/>
    <w:rsid w:val="00871A46"/>
    <w:rsid w:val="008953D8"/>
    <w:rsid w:val="00896261"/>
    <w:rsid w:val="008A3E83"/>
    <w:rsid w:val="008F4002"/>
    <w:rsid w:val="00914C48"/>
    <w:rsid w:val="00921FCC"/>
    <w:rsid w:val="0092361B"/>
    <w:rsid w:val="00925978"/>
    <w:rsid w:val="009349D6"/>
    <w:rsid w:val="0094236C"/>
    <w:rsid w:val="00952BCE"/>
    <w:rsid w:val="00982558"/>
    <w:rsid w:val="009A187B"/>
    <w:rsid w:val="009F370F"/>
    <w:rsid w:val="00A12C20"/>
    <w:rsid w:val="00A45315"/>
    <w:rsid w:val="00A80A20"/>
    <w:rsid w:val="00AC5999"/>
    <w:rsid w:val="00AE08A8"/>
    <w:rsid w:val="00AF5F2D"/>
    <w:rsid w:val="00B432BE"/>
    <w:rsid w:val="00B6749A"/>
    <w:rsid w:val="00B72883"/>
    <w:rsid w:val="00B74DB2"/>
    <w:rsid w:val="00B86547"/>
    <w:rsid w:val="00B905C5"/>
    <w:rsid w:val="00BC65FA"/>
    <w:rsid w:val="00BE1F69"/>
    <w:rsid w:val="00BE2353"/>
    <w:rsid w:val="00C03B8C"/>
    <w:rsid w:val="00C11B70"/>
    <w:rsid w:val="00C17401"/>
    <w:rsid w:val="00C27E33"/>
    <w:rsid w:val="00C524AB"/>
    <w:rsid w:val="00C85139"/>
    <w:rsid w:val="00C93582"/>
    <w:rsid w:val="00CA40DC"/>
    <w:rsid w:val="00CC1F69"/>
    <w:rsid w:val="00CD1BF8"/>
    <w:rsid w:val="00CE7395"/>
    <w:rsid w:val="00CF245C"/>
    <w:rsid w:val="00CF332D"/>
    <w:rsid w:val="00D1143D"/>
    <w:rsid w:val="00D36797"/>
    <w:rsid w:val="00D7498D"/>
    <w:rsid w:val="00D929AD"/>
    <w:rsid w:val="00D953A5"/>
    <w:rsid w:val="00DA677A"/>
    <w:rsid w:val="00DC046F"/>
    <w:rsid w:val="00DD14BF"/>
    <w:rsid w:val="00E379A4"/>
    <w:rsid w:val="00E54FDD"/>
    <w:rsid w:val="00E57610"/>
    <w:rsid w:val="00E61577"/>
    <w:rsid w:val="00E64595"/>
    <w:rsid w:val="00ED3983"/>
    <w:rsid w:val="00EF5846"/>
    <w:rsid w:val="00F0672D"/>
    <w:rsid w:val="00F1731B"/>
    <w:rsid w:val="00F2412C"/>
    <w:rsid w:val="00F34DA1"/>
    <w:rsid w:val="00F600D3"/>
    <w:rsid w:val="00F61649"/>
    <w:rsid w:val="00FD0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936B26"/>
  <w15:docId w15:val="{1CD8777B-76F1-4A3A-B715-11DCB2B8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53D8"/>
    <w:pPr>
      <w:spacing w:after="200" w:line="276" w:lineRule="auto"/>
    </w:pPr>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53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53D8"/>
  </w:style>
  <w:style w:type="paragraph" w:styleId="Fuzeile">
    <w:name w:val="footer"/>
    <w:basedOn w:val="Standard"/>
    <w:link w:val="FuzeileZchn"/>
    <w:uiPriority w:val="99"/>
    <w:unhideWhenUsed/>
    <w:rsid w:val="008953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53D8"/>
  </w:style>
  <w:style w:type="table" w:styleId="Tabellenraster">
    <w:name w:val="Table Grid"/>
    <w:basedOn w:val="NormaleTabelle"/>
    <w:uiPriority w:val="59"/>
    <w:rsid w:val="008953D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953D8"/>
    <w:pPr>
      <w:ind w:left="720"/>
      <w:contextualSpacing/>
    </w:pPr>
  </w:style>
  <w:style w:type="character" w:styleId="Hyperlink">
    <w:name w:val="Hyperlink"/>
    <w:basedOn w:val="Absatz-Standardschriftart"/>
    <w:uiPriority w:val="99"/>
    <w:unhideWhenUsed/>
    <w:rsid w:val="008953D8"/>
    <w:rPr>
      <w:color w:val="0563C1"/>
      <w:u w:val="single"/>
    </w:rPr>
  </w:style>
  <w:style w:type="paragraph" w:styleId="HTMLVorformatiert">
    <w:name w:val="HTML Preformatted"/>
    <w:basedOn w:val="Standard"/>
    <w:link w:val="HTMLVorformatiertZchn"/>
    <w:uiPriority w:val="99"/>
    <w:unhideWhenUsed/>
    <w:rsid w:val="000B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0B06B2"/>
    <w:rPr>
      <w:rFonts w:ascii="Courier New" w:eastAsia="Times New Roman" w:hAnsi="Courier New" w:cs="Courier New"/>
      <w:sz w:val="20"/>
      <w:szCs w:val="20"/>
      <w:lang w:eastAsia="de-AT"/>
    </w:rPr>
  </w:style>
  <w:style w:type="paragraph" w:styleId="Zitat">
    <w:name w:val="Quote"/>
    <w:basedOn w:val="Standard"/>
    <w:next w:val="Standard"/>
    <w:link w:val="ZitatZchn"/>
    <w:uiPriority w:val="29"/>
    <w:qFormat/>
    <w:rsid w:val="000B06B2"/>
    <w:pPr>
      <w:spacing w:before="200" w:after="160" w:line="240" w:lineRule="auto"/>
      <w:ind w:left="864" w:right="864"/>
      <w:jc w:val="center"/>
    </w:pPr>
    <w:rPr>
      <w:i/>
      <w:iCs/>
      <w:color w:val="404040" w:themeColor="text1" w:themeTint="BF"/>
      <w:lang w:val="de-DE"/>
    </w:rPr>
  </w:style>
  <w:style w:type="character" w:customStyle="1" w:styleId="ZitatZchn">
    <w:name w:val="Zitat Zchn"/>
    <w:basedOn w:val="Absatz-Standardschriftart"/>
    <w:link w:val="Zitat"/>
    <w:uiPriority w:val="29"/>
    <w:rsid w:val="000B06B2"/>
    <w:rPr>
      <w:i/>
      <w:iCs/>
      <w:color w:val="404040" w:themeColor="text1" w:themeTint="BF"/>
      <w:lang w:val="de-DE"/>
    </w:rPr>
  </w:style>
  <w:style w:type="paragraph" w:styleId="StandardWeb">
    <w:name w:val="Normal (Web)"/>
    <w:basedOn w:val="Standard"/>
    <w:uiPriority w:val="99"/>
    <w:unhideWhenUsed/>
    <w:rsid w:val="000B06B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461C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1C4B"/>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7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cotrans.at/de/lehrmittel/pakete/" TargetMode="External"/><Relationship Id="rId13" Type="http://schemas.openxmlformats.org/officeDocument/2006/relationships/hyperlink" Target="https://www.youtube.com/watch?v=x0d8sfl1tq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youtube.com/watch?v=x0d8sfl1tq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syEHKhCbS0" TargetMode="External"/><Relationship Id="rId5" Type="http://schemas.openxmlformats.org/officeDocument/2006/relationships/footnotes" Target="footnotes.xml"/><Relationship Id="rId15" Type="http://schemas.openxmlformats.org/officeDocument/2006/relationships/hyperlink" Target="http://www.logistik2030.at/?p=440" TargetMode="External"/><Relationship Id="rId23" Type="http://schemas.openxmlformats.org/officeDocument/2006/relationships/theme" Target="theme/theme1.xml"/><Relationship Id="rId10" Type="http://schemas.openxmlformats.org/officeDocument/2006/relationships/hyperlink" Target="https://www.youtube.com/watch?v=zKOkEEmtlIo"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outube.com/watch?v=XvB9fBnyx94" TargetMode="External"/><Relationship Id="rId14" Type="http://schemas.openxmlformats.org/officeDocument/2006/relationships/hyperlink" Target="https://www.youtube.com/watch?v=KfG6xxi9V7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4005</Words>
  <Characters>25232</Characters>
  <Application>Microsoft Office Word</Application>
  <DocSecurity>0</DocSecurity>
  <Lines>210</Lines>
  <Paragraphs>58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BBRZ Gruppe</Company>
  <LinksUpToDate>false</LinksUpToDate>
  <CharactersWithSpaces>29179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 Gabriele, Mag.a</dc:creator>
  <cp:lastModifiedBy>Kumbruck, Christel</cp:lastModifiedBy>
  <cp:revision>6</cp:revision>
  <dcterms:created xsi:type="dcterms:W3CDTF">2018-09-21T13:49:00Z</dcterms:created>
  <dcterms:modified xsi:type="dcterms:W3CDTF">2018-10-17T09:41:00Z</dcterms:modified>
</cp:coreProperties>
</file>